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00" w:beforeAutospacing="1" w:after="100" w:afterAutospacing="1"/>
        <w:jc w:val="center"/>
        <w:rPr>
          <w:rFonts w:hint="eastAsia" w:ascii="黑体" w:hAnsi="ˎ̥" w:eastAsia="黑体" w:cs="宋体"/>
          <w:kern w:val="0"/>
          <w:sz w:val="44"/>
          <w:szCs w:val="44"/>
          <w:lang w:val="en-US" w:eastAsia="zh-CN"/>
        </w:rPr>
      </w:pPr>
      <w:r>
        <w:rPr>
          <w:rFonts w:hint="eastAsia" w:ascii="黑体" w:hAnsi="ˎ̥" w:eastAsia="黑体" w:cs="宋体"/>
          <w:kern w:val="0"/>
          <w:sz w:val="44"/>
          <w:szCs w:val="44"/>
        </w:rPr>
        <w:t>东方市粮食局2018年度部门决算</w:t>
      </w:r>
      <w:r>
        <w:rPr>
          <w:rFonts w:hint="eastAsia" w:ascii="黑体" w:hAnsi="ˎ̥" w:eastAsia="黑体" w:cs="宋体"/>
          <w:kern w:val="0"/>
          <w:sz w:val="44"/>
          <w:szCs w:val="44"/>
          <w:lang w:val="en-US" w:eastAsia="zh-CN"/>
        </w:rPr>
        <w:t>公开说明</w:t>
      </w:r>
    </w:p>
    <w:p>
      <w:pPr>
        <w:widowControl/>
        <w:snapToGrid w:val="0"/>
        <w:spacing w:before="100" w:beforeAutospacing="1" w:after="100" w:afterAutospacing="1"/>
        <w:jc w:val="center"/>
        <w:rPr>
          <w:rFonts w:ascii="黑体" w:hAnsi="ˎ̥" w:eastAsia="黑体" w:cs="宋体"/>
          <w:b/>
          <w:kern w:val="0"/>
          <w:sz w:val="32"/>
          <w:szCs w:val="32"/>
        </w:rPr>
      </w:pPr>
    </w:p>
    <w:p>
      <w:pPr>
        <w:widowControl/>
        <w:snapToGrid w:val="0"/>
        <w:spacing w:before="100" w:beforeAutospacing="1" w:after="100" w:afterAutospacing="1"/>
        <w:jc w:val="center"/>
        <w:rPr>
          <w:rFonts w:ascii="黑体" w:hAnsi="黑体" w:eastAsia="黑体" w:cs="黑体"/>
          <w:kern w:val="0"/>
          <w:sz w:val="44"/>
          <w:szCs w:val="44"/>
        </w:rPr>
      </w:pPr>
      <w:bookmarkStart w:id="0" w:name="_Toc11440_WPSOffice_Type2"/>
      <w:r>
        <w:rPr>
          <w:rFonts w:hint="eastAsia" w:ascii="黑体" w:hAnsi="黑体" w:eastAsia="黑体" w:cs="黑体"/>
          <w:kern w:val="0"/>
          <w:sz w:val="44"/>
          <w:szCs w:val="44"/>
        </w:rPr>
        <w:t>目  录</w:t>
      </w:r>
    </w:p>
    <w:p>
      <w:pPr>
        <w:widowControl/>
        <w:tabs>
          <w:tab w:val="right" w:leader="dot" w:pos="8306"/>
        </w:tabs>
        <w:snapToGrid w:val="0"/>
        <w:spacing w:before="100" w:beforeAutospacing="1" w:after="100" w:afterAutospacing="1"/>
        <w:jc w:val="left"/>
        <w:rPr>
          <w:rFonts w:ascii="宋体" w:hAnsi="宋体" w:eastAsia="宋体" w:cs="宋体"/>
          <w:kern w:val="0"/>
          <w:sz w:val="32"/>
          <w:szCs w:val="32"/>
        </w:rPr>
      </w:pPr>
      <w:r>
        <w:rPr>
          <w:rFonts w:hint="eastAsia" w:ascii="黑体" w:hAnsi="ˎ̥" w:eastAsia="黑体" w:cs="宋体"/>
          <w:kern w:val="0"/>
          <w:sz w:val="32"/>
          <w:szCs w:val="32"/>
        </w:rPr>
        <w:t>第一部分  东方市粮食局部门部门概况</w:t>
      </w:r>
      <w:r>
        <w:rPr>
          <w:rFonts w:hint="eastAsia" w:ascii="宋体" w:hAnsi="宋体" w:eastAsia="宋体" w:cs="宋体"/>
          <w:kern w:val="0"/>
          <w:sz w:val="32"/>
          <w:szCs w:val="32"/>
        </w:rPr>
        <w:tab/>
      </w:r>
      <w:r>
        <w:rPr>
          <w:rFonts w:hint="eastAsia" w:ascii="宋体" w:hAnsi="宋体" w:eastAsia="宋体" w:cs="宋体"/>
          <w:kern w:val="0"/>
          <w:sz w:val="32"/>
          <w:szCs w:val="32"/>
        </w:rPr>
        <w:t>3</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kern w:val="0"/>
          <w:sz w:val="32"/>
          <w:szCs w:val="32"/>
        </w:rPr>
        <w:t>一、部门职责</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kern w:val="0"/>
          <w:sz w:val="32"/>
          <w:szCs w:val="32"/>
        </w:rPr>
        <w:t>二、机构设置</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widowControl/>
        <w:tabs>
          <w:tab w:val="right" w:leader="dot" w:pos="8306"/>
        </w:tabs>
        <w:snapToGrid w:val="0"/>
        <w:spacing w:before="100" w:beforeAutospacing="1" w:after="100" w:afterAutospacing="1"/>
        <w:jc w:val="left"/>
        <w:rPr>
          <w:rFonts w:ascii="宋体" w:hAnsi="宋体" w:eastAsia="宋体" w:cs="宋体"/>
          <w:kern w:val="0"/>
          <w:sz w:val="32"/>
          <w:szCs w:val="32"/>
        </w:rPr>
      </w:pPr>
      <w:r>
        <w:rPr>
          <w:rFonts w:hint="eastAsia" w:ascii="黑体" w:hAnsi="ˎ̥" w:eastAsia="黑体" w:cs="宋体"/>
          <w:kern w:val="0"/>
          <w:sz w:val="32"/>
          <w:szCs w:val="32"/>
        </w:rPr>
        <w:t>第二部分  东方市粮食局部门2018年度部门决算公开表</w:t>
      </w:r>
      <w:r>
        <w:rPr>
          <w:rFonts w:hint="eastAsia" w:ascii="宋体" w:hAnsi="宋体" w:eastAsia="宋体" w:cs="宋体"/>
          <w:kern w:val="0"/>
          <w:sz w:val="32"/>
          <w:szCs w:val="32"/>
        </w:rPr>
        <w:tab/>
      </w:r>
      <w:r>
        <w:rPr>
          <w:rFonts w:hint="eastAsia" w:ascii="宋体" w:hAnsi="宋体" w:eastAsia="宋体" w:cs="宋体"/>
          <w:kern w:val="0"/>
          <w:sz w:val="32"/>
          <w:szCs w:val="32"/>
        </w:rPr>
        <w:t>3</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kern w:val="0"/>
          <w:sz w:val="32"/>
          <w:szCs w:val="32"/>
        </w:rPr>
        <w:t>一、收入支出决算公开表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kern w:val="0"/>
          <w:sz w:val="32"/>
          <w:szCs w:val="32"/>
        </w:rPr>
        <w:t>二、收入决算公开表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kern w:val="0"/>
          <w:sz w:val="32"/>
          <w:szCs w:val="32"/>
        </w:rPr>
        <w:t>三、支出决算公开表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kern w:val="0"/>
          <w:sz w:val="32"/>
          <w:szCs w:val="32"/>
        </w:rPr>
        <w:t>四、 财政拨款收入支出决算公开表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kern w:val="0"/>
          <w:sz w:val="32"/>
          <w:szCs w:val="32"/>
        </w:rPr>
        <w:t>五、一般公共预算财政拨款收入支出决算公开表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kern w:val="0"/>
          <w:sz w:val="32"/>
          <w:szCs w:val="32"/>
        </w:rPr>
        <w:t>六、一般公共预算财政拨款基本支出决算公开表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kern w:val="0"/>
          <w:sz w:val="32"/>
          <w:szCs w:val="32"/>
        </w:rPr>
        <w:t>七、政府性基金预算财政拨款收入支出决算公开表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kern w:val="0"/>
          <w:sz w:val="32"/>
          <w:szCs w:val="32"/>
        </w:rPr>
        <w:t>八、一般公共预算财政拨款“三公”经费支出决算公开表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kern w:val="0"/>
          <w:sz w:val="32"/>
          <w:szCs w:val="32"/>
        </w:rPr>
        <w:t>九、政府性基金预算财政拨款“三公”经费支出决算公开表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kern w:val="0"/>
          <w:sz w:val="32"/>
          <w:szCs w:val="32"/>
        </w:rPr>
        <w:t>十、资产负债公开简表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widowControl/>
        <w:tabs>
          <w:tab w:val="right" w:leader="dot" w:pos="8306"/>
        </w:tabs>
        <w:snapToGrid w:val="0"/>
        <w:spacing w:before="100" w:beforeAutospacing="1" w:after="100" w:afterAutospacing="1"/>
        <w:jc w:val="left"/>
        <w:rPr>
          <w:rFonts w:ascii="宋体" w:hAnsi="宋体" w:eastAsia="宋体" w:cs="宋体"/>
          <w:kern w:val="0"/>
          <w:sz w:val="32"/>
          <w:szCs w:val="32"/>
        </w:rPr>
      </w:pPr>
      <w:r>
        <w:rPr>
          <w:rFonts w:hint="eastAsia" w:ascii="黑体" w:hAnsi="黑体" w:eastAsia="黑体" w:cs="黑体"/>
          <w:kern w:val="0"/>
          <w:sz w:val="32"/>
          <w:szCs w:val="32"/>
        </w:rPr>
        <w:t>第三部分</w:t>
      </w:r>
      <w:r>
        <w:rPr>
          <w:rFonts w:hint="eastAsia" w:ascii="宋体" w:hAnsi="宋体" w:eastAsia="宋体" w:cs="宋体"/>
          <w:kern w:val="0"/>
          <w:sz w:val="32"/>
          <w:szCs w:val="32"/>
        </w:rPr>
        <w:t xml:space="preserve">  </w:t>
      </w:r>
      <w:r>
        <w:rPr>
          <w:rFonts w:hint="eastAsia" w:ascii="黑体" w:hAnsi="ˎ̥" w:eastAsia="黑体" w:cs="宋体"/>
          <w:kern w:val="0"/>
          <w:sz w:val="32"/>
          <w:szCs w:val="32"/>
        </w:rPr>
        <w:t>东方市粮食局部门2018年度部门决算情况说明</w:t>
      </w:r>
      <w:r>
        <w:rPr>
          <w:rFonts w:hint="eastAsia" w:ascii="宋体" w:hAnsi="宋体" w:eastAsia="宋体" w:cs="宋体"/>
          <w:kern w:val="0"/>
          <w:sz w:val="32"/>
          <w:szCs w:val="32"/>
        </w:rPr>
        <w:tab/>
      </w:r>
      <w:r>
        <w:rPr>
          <w:rFonts w:hint="eastAsia" w:ascii="宋体" w:hAnsi="宋体" w:eastAsia="宋体" w:cs="宋体"/>
          <w:kern w:val="0"/>
          <w:sz w:val="32"/>
          <w:szCs w:val="32"/>
        </w:rPr>
        <w:t>4</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bCs/>
          <w:kern w:val="0"/>
          <w:sz w:val="32"/>
          <w:szCs w:val="32"/>
        </w:rPr>
        <w:t>一、收入支出决算总体情况说明</w:t>
      </w:r>
      <w:r>
        <w:rPr>
          <w:rFonts w:hint="eastAsia" w:ascii="仿宋" w:hAnsi="仿宋" w:eastAsia="仿宋" w:cs="仿宋"/>
          <w:kern w:val="0"/>
          <w:sz w:val="32"/>
          <w:szCs w:val="32"/>
        </w:rPr>
        <w:tab/>
      </w:r>
      <w:r>
        <w:rPr>
          <w:rFonts w:hint="eastAsia" w:ascii="仿宋" w:hAnsi="仿宋" w:eastAsia="仿宋" w:cs="仿宋"/>
          <w:kern w:val="0"/>
          <w:sz w:val="32"/>
          <w:szCs w:val="32"/>
        </w:rPr>
        <w:t>4</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bCs/>
          <w:kern w:val="0"/>
          <w:sz w:val="32"/>
          <w:szCs w:val="32"/>
        </w:rPr>
        <w:t>二、收入决算情况说明</w:t>
      </w:r>
      <w:r>
        <w:rPr>
          <w:rFonts w:hint="eastAsia" w:ascii="仿宋" w:hAnsi="仿宋" w:eastAsia="仿宋" w:cs="仿宋"/>
          <w:kern w:val="0"/>
          <w:sz w:val="32"/>
          <w:szCs w:val="32"/>
        </w:rPr>
        <w:tab/>
      </w:r>
      <w:r>
        <w:rPr>
          <w:rFonts w:hint="eastAsia" w:ascii="仿宋" w:hAnsi="仿宋" w:eastAsia="仿宋" w:cs="仿宋"/>
          <w:kern w:val="0"/>
          <w:sz w:val="32"/>
          <w:szCs w:val="32"/>
        </w:rPr>
        <w:t>4</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bCs/>
          <w:kern w:val="0"/>
          <w:sz w:val="32"/>
          <w:szCs w:val="32"/>
        </w:rPr>
        <w:t>三、支出决算情况说明</w:t>
      </w:r>
      <w:r>
        <w:rPr>
          <w:rFonts w:hint="eastAsia" w:ascii="仿宋" w:hAnsi="仿宋" w:eastAsia="仿宋" w:cs="仿宋"/>
          <w:kern w:val="0"/>
          <w:sz w:val="32"/>
          <w:szCs w:val="32"/>
        </w:rPr>
        <w:tab/>
      </w:r>
      <w:r>
        <w:rPr>
          <w:rFonts w:hint="eastAsia" w:ascii="仿宋" w:hAnsi="仿宋" w:eastAsia="仿宋" w:cs="仿宋"/>
          <w:kern w:val="0"/>
          <w:sz w:val="32"/>
          <w:szCs w:val="32"/>
        </w:rPr>
        <w:t>4</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bCs/>
          <w:kern w:val="0"/>
          <w:sz w:val="32"/>
          <w:szCs w:val="32"/>
        </w:rPr>
        <w:t>四、财政拨款收入支出决算总体情况说明</w:t>
      </w:r>
      <w:r>
        <w:rPr>
          <w:rFonts w:hint="eastAsia" w:ascii="仿宋" w:hAnsi="仿宋" w:eastAsia="仿宋" w:cs="仿宋"/>
          <w:kern w:val="0"/>
          <w:sz w:val="32"/>
          <w:szCs w:val="32"/>
        </w:rPr>
        <w:tab/>
      </w:r>
      <w:r>
        <w:rPr>
          <w:rFonts w:hint="eastAsia" w:ascii="仿宋" w:hAnsi="仿宋" w:eastAsia="仿宋" w:cs="仿宋"/>
          <w:kern w:val="0"/>
          <w:sz w:val="32"/>
          <w:szCs w:val="32"/>
        </w:rPr>
        <w:t>5</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bCs/>
          <w:kern w:val="0"/>
          <w:sz w:val="32"/>
          <w:szCs w:val="32"/>
        </w:rPr>
        <w:t>五、一般公共预算财政拨款支出决算情况说明</w:t>
      </w:r>
      <w:r>
        <w:rPr>
          <w:rFonts w:hint="eastAsia" w:ascii="仿宋" w:hAnsi="仿宋" w:eastAsia="仿宋" w:cs="仿宋"/>
          <w:kern w:val="0"/>
          <w:sz w:val="32"/>
          <w:szCs w:val="32"/>
        </w:rPr>
        <w:tab/>
      </w:r>
      <w:r>
        <w:rPr>
          <w:rFonts w:hint="eastAsia" w:ascii="仿宋" w:hAnsi="仿宋" w:eastAsia="仿宋" w:cs="仿宋"/>
          <w:kern w:val="0"/>
          <w:sz w:val="32"/>
          <w:szCs w:val="32"/>
        </w:rPr>
        <w:t>5</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bCs/>
          <w:kern w:val="0"/>
          <w:sz w:val="32"/>
          <w:szCs w:val="32"/>
        </w:rPr>
        <w:t>六、一般公共预算财政拨款基本支出决算情况说明</w:t>
      </w:r>
      <w:r>
        <w:rPr>
          <w:rFonts w:hint="eastAsia" w:ascii="仿宋" w:hAnsi="仿宋" w:eastAsia="仿宋" w:cs="仿宋"/>
          <w:kern w:val="0"/>
          <w:sz w:val="32"/>
          <w:szCs w:val="32"/>
        </w:rPr>
        <w:tab/>
      </w:r>
      <w:r>
        <w:rPr>
          <w:rFonts w:hint="eastAsia" w:ascii="仿宋" w:hAnsi="仿宋" w:eastAsia="仿宋" w:cs="仿宋"/>
          <w:kern w:val="0"/>
          <w:sz w:val="32"/>
          <w:szCs w:val="32"/>
        </w:rPr>
        <w:t>6</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kern w:val="0"/>
          <w:sz w:val="32"/>
          <w:szCs w:val="32"/>
        </w:rPr>
        <w:t>七、</w:t>
      </w:r>
      <w:r>
        <w:rPr>
          <w:rFonts w:hint="eastAsia" w:ascii="仿宋" w:hAnsi="仿宋" w:eastAsia="仿宋" w:cs="仿宋"/>
          <w:bCs/>
          <w:kern w:val="0"/>
          <w:sz w:val="32"/>
          <w:szCs w:val="32"/>
        </w:rPr>
        <w:t>政府性基金预算财政拨款收入支出决算情况说明</w:t>
      </w:r>
      <w:r>
        <w:rPr>
          <w:rFonts w:hint="eastAsia" w:ascii="仿宋" w:hAnsi="仿宋" w:eastAsia="仿宋" w:cs="仿宋"/>
          <w:kern w:val="0"/>
          <w:sz w:val="32"/>
          <w:szCs w:val="32"/>
        </w:rPr>
        <w:tab/>
      </w:r>
      <w:r>
        <w:rPr>
          <w:rFonts w:hint="eastAsia" w:ascii="仿宋" w:hAnsi="仿宋" w:eastAsia="仿宋" w:cs="仿宋"/>
          <w:kern w:val="0"/>
          <w:sz w:val="32"/>
          <w:szCs w:val="32"/>
        </w:rPr>
        <w:t>5</w:t>
      </w:r>
    </w:p>
    <w:p>
      <w:pPr>
        <w:widowControl/>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bCs/>
          <w:kern w:val="0"/>
          <w:sz w:val="32"/>
          <w:szCs w:val="32"/>
        </w:rPr>
        <w:t>八、一般公共预算财政拨款“三公”经费支出决算情况说明</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kern w:val="0"/>
          <w:sz w:val="32"/>
          <w:szCs w:val="32"/>
        </w:rPr>
        <w:tab/>
      </w:r>
      <w:r>
        <w:rPr>
          <w:rFonts w:hint="eastAsia" w:ascii="仿宋" w:hAnsi="仿宋" w:eastAsia="仿宋" w:cs="仿宋"/>
          <w:kern w:val="0"/>
          <w:sz w:val="32"/>
          <w:szCs w:val="32"/>
        </w:rPr>
        <w:t>7</w:t>
      </w:r>
    </w:p>
    <w:p>
      <w:pPr>
        <w:widowControl/>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bCs/>
          <w:kern w:val="0"/>
          <w:sz w:val="32"/>
          <w:szCs w:val="32"/>
        </w:rPr>
        <w:t>九、政府性基金预算财政拨款“三公”经费支出决算情况说明</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kern w:val="0"/>
          <w:sz w:val="32"/>
          <w:szCs w:val="32"/>
        </w:rPr>
        <w:tab/>
      </w:r>
      <w:r>
        <w:rPr>
          <w:rFonts w:hint="eastAsia" w:ascii="仿宋" w:hAnsi="仿宋" w:eastAsia="仿宋" w:cs="仿宋"/>
          <w:kern w:val="0"/>
          <w:sz w:val="32"/>
          <w:szCs w:val="32"/>
        </w:rPr>
        <w:t>7</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kern w:val="0"/>
          <w:sz w:val="32"/>
          <w:szCs w:val="32"/>
        </w:rPr>
        <w:t>十、资产负债决算</w:t>
      </w:r>
      <w:r>
        <w:rPr>
          <w:rFonts w:hint="eastAsia" w:ascii="仿宋" w:hAnsi="仿宋" w:eastAsia="仿宋" w:cs="仿宋"/>
          <w:bCs/>
          <w:kern w:val="0"/>
          <w:sz w:val="32"/>
          <w:szCs w:val="32"/>
        </w:rPr>
        <w:t>情况说明</w:t>
      </w:r>
      <w:r>
        <w:rPr>
          <w:rFonts w:hint="eastAsia" w:ascii="仿宋" w:hAnsi="仿宋" w:eastAsia="仿宋" w:cs="仿宋"/>
          <w:kern w:val="0"/>
          <w:sz w:val="32"/>
          <w:szCs w:val="32"/>
        </w:rPr>
        <w:tab/>
      </w:r>
      <w:r>
        <w:rPr>
          <w:rFonts w:hint="eastAsia" w:ascii="仿宋" w:hAnsi="仿宋" w:eastAsia="仿宋" w:cs="仿宋"/>
          <w:kern w:val="0"/>
          <w:sz w:val="32"/>
          <w:szCs w:val="32"/>
        </w:rPr>
        <w:t>5</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bCs/>
          <w:kern w:val="0"/>
          <w:sz w:val="32"/>
          <w:szCs w:val="32"/>
        </w:rPr>
        <w:t>十一、预算绩效情况说明</w:t>
      </w:r>
      <w:r>
        <w:rPr>
          <w:rFonts w:hint="eastAsia" w:ascii="仿宋" w:hAnsi="仿宋" w:eastAsia="仿宋" w:cs="仿宋"/>
          <w:kern w:val="0"/>
          <w:sz w:val="32"/>
          <w:szCs w:val="32"/>
        </w:rPr>
        <w:tab/>
      </w:r>
      <w:r>
        <w:rPr>
          <w:rFonts w:hint="eastAsia" w:ascii="仿宋" w:hAnsi="仿宋" w:eastAsia="仿宋" w:cs="仿宋"/>
          <w:kern w:val="0"/>
          <w:sz w:val="32"/>
          <w:szCs w:val="32"/>
        </w:rPr>
        <w:t>9</w:t>
      </w:r>
    </w:p>
    <w:p>
      <w:pPr>
        <w:widowControl/>
        <w:tabs>
          <w:tab w:val="right" w:leader="dot" w:pos="8306"/>
        </w:tabs>
        <w:snapToGrid w:val="0"/>
        <w:spacing w:before="100" w:beforeAutospacing="1" w:after="100" w:afterAutospacing="1"/>
        <w:jc w:val="left"/>
        <w:rPr>
          <w:rFonts w:ascii="仿宋" w:hAnsi="仿宋" w:eastAsia="仿宋" w:cs="仿宋"/>
          <w:kern w:val="0"/>
          <w:sz w:val="32"/>
          <w:szCs w:val="32"/>
        </w:rPr>
      </w:pPr>
      <w:r>
        <w:rPr>
          <w:rFonts w:hint="eastAsia" w:ascii="仿宋" w:hAnsi="仿宋" w:eastAsia="仿宋" w:cs="仿宋"/>
          <w:bCs/>
          <w:kern w:val="0"/>
          <w:sz w:val="32"/>
          <w:szCs w:val="32"/>
        </w:rPr>
        <w:t>十二、其他重要事项情况说明</w:t>
      </w:r>
      <w:r>
        <w:rPr>
          <w:rFonts w:hint="eastAsia" w:ascii="仿宋" w:hAnsi="仿宋" w:eastAsia="仿宋" w:cs="仿宋"/>
          <w:kern w:val="0"/>
          <w:sz w:val="32"/>
          <w:szCs w:val="32"/>
        </w:rPr>
        <w:tab/>
      </w:r>
      <w:r>
        <w:rPr>
          <w:rFonts w:hint="eastAsia" w:ascii="仿宋" w:hAnsi="仿宋" w:eastAsia="仿宋" w:cs="仿宋"/>
          <w:kern w:val="0"/>
          <w:sz w:val="32"/>
          <w:szCs w:val="32"/>
        </w:rPr>
        <w:t>10</w:t>
      </w:r>
    </w:p>
    <w:p>
      <w:pPr>
        <w:widowControl/>
        <w:tabs>
          <w:tab w:val="right" w:leader="dot" w:pos="8306"/>
        </w:tabs>
        <w:snapToGrid w:val="0"/>
        <w:spacing w:before="100" w:beforeAutospacing="1" w:after="100" w:afterAutospacing="1"/>
        <w:jc w:val="left"/>
        <w:rPr>
          <w:rFonts w:ascii="宋体" w:hAnsi="宋体" w:eastAsia="宋体" w:cs="宋体"/>
          <w:kern w:val="0"/>
          <w:sz w:val="32"/>
          <w:szCs w:val="32"/>
        </w:rPr>
      </w:pPr>
      <w:r>
        <w:rPr>
          <w:rFonts w:hint="eastAsia" w:ascii="黑体" w:hAnsi="ˎ̥" w:eastAsia="黑体" w:cs="宋体"/>
          <w:kern w:val="0"/>
          <w:sz w:val="32"/>
          <w:szCs w:val="32"/>
        </w:rPr>
        <w:t>第四部分  名词解释</w:t>
      </w:r>
      <w:r>
        <w:rPr>
          <w:rFonts w:hint="eastAsia" w:ascii="宋体" w:hAnsi="宋体" w:eastAsia="宋体" w:cs="宋体"/>
          <w:kern w:val="0"/>
          <w:sz w:val="32"/>
          <w:szCs w:val="32"/>
        </w:rPr>
        <w:tab/>
      </w:r>
      <w:bookmarkStart w:id="1" w:name="_Toc15425_WPSOffice_Level1Page"/>
      <w:r>
        <w:rPr>
          <w:rFonts w:hint="eastAsia" w:ascii="宋体" w:hAnsi="宋体" w:eastAsia="宋体" w:cs="宋体"/>
          <w:kern w:val="0"/>
          <w:sz w:val="32"/>
          <w:szCs w:val="32"/>
        </w:rPr>
        <w:t>1</w:t>
      </w:r>
      <w:bookmarkEnd w:id="1"/>
      <w:r>
        <w:rPr>
          <w:rFonts w:hint="eastAsia" w:ascii="宋体" w:hAnsi="宋体" w:eastAsia="宋体" w:cs="宋体"/>
          <w:kern w:val="0"/>
          <w:sz w:val="32"/>
          <w:szCs w:val="32"/>
        </w:rPr>
        <w:t>1</w:t>
      </w:r>
      <w:bookmarkEnd w:id="0"/>
      <w:r>
        <w:rPr>
          <w:rFonts w:hint="eastAsia" w:ascii="宋体" w:hAnsi="宋体" w:eastAsia="宋体" w:cs="宋体"/>
          <w:kern w:val="0"/>
          <w:sz w:val="24"/>
          <w:szCs w:val="24"/>
        </w:rPr>
        <w:t>{C}</w:t>
      </w:r>
    </w:p>
    <w:p>
      <w:pPr>
        <w:widowControl/>
        <w:snapToGrid w:val="0"/>
        <w:spacing w:before="100" w:beforeAutospacing="1" w:after="100" w:afterAutospacing="1"/>
        <w:jc w:val="left"/>
        <w:rPr>
          <w:rFonts w:ascii="黑体" w:hAnsi="黑体" w:eastAsia="黑体" w:cs="黑体"/>
          <w:kern w:val="0"/>
          <w:sz w:val="32"/>
          <w:szCs w:val="32"/>
        </w:rPr>
      </w:pPr>
    </w:p>
    <w:p>
      <w:pPr>
        <w:widowControl/>
        <w:snapToGrid w:val="0"/>
        <w:spacing w:before="100" w:beforeAutospacing="1" w:after="100" w:afterAutospacing="1"/>
        <w:jc w:val="center"/>
        <w:rPr>
          <w:rFonts w:ascii="黑体" w:hAnsi="ˎ̥" w:eastAsia="黑体" w:cs="宋体"/>
          <w:b/>
          <w:kern w:val="0"/>
          <w:sz w:val="32"/>
          <w:szCs w:val="32"/>
        </w:rPr>
      </w:pPr>
    </w:p>
    <w:p>
      <w:pPr>
        <w:widowControl/>
        <w:snapToGrid w:val="0"/>
        <w:spacing w:before="100" w:beforeAutospacing="1" w:after="100" w:afterAutospacing="1"/>
        <w:jc w:val="center"/>
        <w:rPr>
          <w:rFonts w:ascii="黑体" w:hAnsi="ˎ̥" w:eastAsia="黑体" w:cs="宋体"/>
          <w:b/>
          <w:kern w:val="0"/>
          <w:sz w:val="32"/>
          <w:szCs w:val="32"/>
        </w:rPr>
      </w:pPr>
    </w:p>
    <w:p>
      <w:pPr>
        <w:widowControl/>
        <w:snapToGrid w:val="0"/>
        <w:spacing w:before="100" w:beforeAutospacing="1" w:after="100" w:afterAutospacing="1"/>
        <w:jc w:val="center"/>
        <w:rPr>
          <w:rFonts w:ascii="黑体" w:hAnsi="ˎ̥" w:eastAsia="黑体" w:cs="宋体"/>
          <w:b/>
          <w:kern w:val="0"/>
          <w:sz w:val="32"/>
          <w:szCs w:val="32"/>
        </w:rPr>
      </w:pPr>
    </w:p>
    <w:p>
      <w:pPr>
        <w:widowControl/>
        <w:snapToGrid w:val="0"/>
        <w:spacing w:before="100" w:beforeAutospacing="1" w:after="100" w:afterAutospacing="1"/>
        <w:jc w:val="center"/>
        <w:rPr>
          <w:rFonts w:ascii="黑体" w:hAnsi="ˎ̥" w:eastAsia="黑体" w:cs="宋体"/>
          <w:b/>
          <w:kern w:val="0"/>
          <w:sz w:val="32"/>
          <w:szCs w:val="32"/>
        </w:rPr>
      </w:pPr>
    </w:p>
    <w:p>
      <w:pPr>
        <w:widowControl/>
        <w:snapToGrid w:val="0"/>
        <w:spacing w:before="100" w:beforeAutospacing="1" w:after="100" w:afterAutospacing="1"/>
        <w:jc w:val="center"/>
        <w:rPr>
          <w:rFonts w:ascii="黑体" w:hAnsi="ˎ̥" w:eastAsia="黑体" w:cs="宋体"/>
          <w:kern w:val="0"/>
          <w:sz w:val="32"/>
          <w:szCs w:val="32"/>
        </w:rPr>
      </w:pPr>
      <w:bookmarkStart w:id="2" w:name="_Toc10720_WPSOffice_Level1"/>
      <w:bookmarkStart w:id="3" w:name="_Toc22941_WPSOffice_Level1"/>
      <w:bookmarkStart w:id="4" w:name="_Toc32433_WPSOffice_Level1"/>
      <w:bookmarkStart w:id="5" w:name="_Toc10049_WPSOffice_Level1"/>
      <w:bookmarkStart w:id="6" w:name="_Toc23465_WPSOffice_Level1"/>
      <w:bookmarkStart w:id="7" w:name="_Toc1704_WPSOffice_Level1"/>
      <w:bookmarkStart w:id="8" w:name="_Toc24238_WPSOffice_Level2"/>
      <w:bookmarkStart w:id="9" w:name="_Toc20205_WPSOffice_Level2"/>
      <w:bookmarkStart w:id="10" w:name="_Toc26580_WPSOffice_Level2"/>
      <w:bookmarkStart w:id="11" w:name="_Toc14159_WPSOffice_Level2"/>
      <w:bookmarkStart w:id="12" w:name="_Toc20274_WPSOffice_Level2"/>
      <w:bookmarkStart w:id="13" w:name="_Toc32622_WPSOffice_Level2"/>
      <w:r>
        <w:rPr>
          <w:rFonts w:hint="eastAsia" w:ascii="黑体" w:hAnsi="ˎ̥" w:eastAsia="黑体" w:cs="宋体"/>
          <w:kern w:val="0"/>
          <w:sz w:val="32"/>
          <w:szCs w:val="32"/>
        </w:rPr>
        <w:t>第一部分  东方市粮食局部门概况</w:t>
      </w:r>
      <w:bookmarkEnd w:id="2"/>
      <w:bookmarkEnd w:id="3"/>
      <w:bookmarkEnd w:id="4"/>
      <w:bookmarkEnd w:id="5"/>
      <w:bookmarkEnd w:id="6"/>
      <w:bookmarkEnd w:id="7"/>
    </w:p>
    <w:p>
      <w:pPr>
        <w:widowControl/>
        <w:snapToGrid w:val="0"/>
        <w:spacing w:before="100" w:beforeAutospacing="1" w:after="100" w:afterAutospacing="1"/>
        <w:ind w:firstLine="640" w:firstLineChars="200"/>
        <w:jc w:val="left"/>
        <w:rPr>
          <w:rFonts w:ascii="楷体" w:hAnsi="楷体" w:eastAsia="楷体" w:cs="楷体"/>
          <w:kern w:val="0"/>
          <w:sz w:val="32"/>
          <w:szCs w:val="32"/>
        </w:rPr>
      </w:pPr>
    </w:p>
    <w:p>
      <w:pPr>
        <w:widowControl/>
        <w:numPr>
          <w:numId w:val="0"/>
        </w:numPr>
        <w:snapToGrid w:val="0"/>
        <w:spacing w:before="100" w:beforeAutospacing="1" w:after="100" w:afterAutospacing="1"/>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部门</w:t>
      </w:r>
      <w:bookmarkEnd w:id="8"/>
      <w:r>
        <w:rPr>
          <w:rFonts w:hint="eastAsia" w:ascii="黑体" w:hAnsi="黑体" w:eastAsia="黑体" w:cs="黑体"/>
          <w:kern w:val="0"/>
          <w:sz w:val="32"/>
          <w:szCs w:val="32"/>
        </w:rPr>
        <w:t>职责</w:t>
      </w:r>
      <w:bookmarkEnd w:id="9"/>
      <w:bookmarkEnd w:id="10"/>
      <w:bookmarkEnd w:id="11"/>
      <w:bookmarkEnd w:id="12"/>
      <w:bookmarkEnd w:id="13"/>
    </w:p>
    <w:p>
      <w:pPr>
        <w:keepNext w:val="0"/>
        <w:keepLines w:val="0"/>
        <w:pageBreakBefore w:val="0"/>
        <w:widowControl/>
        <w:numPr>
          <w:numId w:val="0"/>
        </w:numPr>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1、贯彻执行党和国家及省有关粮食工作的方针政策、法律、法规，制定并组织实施本粮食经济的发展规划、计划，做好粮食宏观调控和社会服务管理。</w:t>
      </w:r>
      <w:r>
        <w:rPr>
          <w:rFonts w:ascii="Arial" w:hAnsi="Arial" w:eastAsia="仿宋_GB2312" w:cs="Arial"/>
          <w:color w:val="000000"/>
          <w:kern w:val="0"/>
          <w:sz w:val="32"/>
          <w:szCs w:val="32"/>
        </w:rPr>
        <w:t> </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2、负责粮食流通的行政管理，业务培训和行业指导。依法对粮食经营者从事粮食购销、仓储、加工活动以及执行国家粮食统计制度的情况进行监督检查。</w:t>
      </w:r>
      <w:r>
        <w:rPr>
          <w:rFonts w:ascii="Arial" w:hAnsi="Arial" w:eastAsia="仿宋_GB2312" w:cs="Arial"/>
          <w:color w:val="000000"/>
          <w:kern w:val="0"/>
          <w:sz w:val="32"/>
          <w:szCs w:val="32"/>
        </w:rPr>
        <w:t> </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3、负责粮食收购许可的审批办理及跨地区粮食收购的报备，维护粮食流通的正常秩序。</w:t>
      </w:r>
      <w:r>
        <w:rPr>
          <w:rFonts w:ascii="Arial" w:hAnsi="Arial" w:eastAsia="仿宋_GB2312" w:cs="Arial"/>
          <w:color w:val="000000"/>
          <w:kern w:val="0"/>
          <w:sz w:val="32"/>
          <w:szCs w:val="32"/>
        </w:rPr>
        <w:t> </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4、会同相关部门对地方储备粮进行监督管理，以及承担自然灾害或其他突发事件引发的粮食应急预案的启动。</w:t>
      </w:r>
      <w:r>
        <w:rPr>
          <w:rFonts w:ascii="Arial" w:hAnsi="Arial" w:eastAsia="仿宋_GB2312" w:cs="Arial"/>
          <w:color w:val="000000"/>
          <w:kern w:val="0"/>
          <w:sz w:val="32"/>
          <w:szCs w:val="32"/>
        </w:rPr>
        <w:t> </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5、负责对驻军、驻警粮食供应工作的指导和监督管理。</w:t>
      </w:r>
      <w:r>
        <w:rPr>
          <w:rFonts w:ascii="Arial" w:hAnsi="Arial" w:eastAsia="仿宋_GB2312" w:cs="Arial"/>
          <w:color w:val="000000"/>
          <w:kern w:val="0"/>
          <w:sz w:val="32"/>
          <w:szCs w:val="32"/>
        </w:rPr>
        <w:t> </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6、负责粮食（原粮》质量指标和食用卫生指标的监督管理。</w:t>
      </w:r>
      <w:r>
        <w:rPr>
          <w:rFonts w:ascii="Arial" w:hAnsi="Arial" w:eastAsia="仿宋_GB2312" w:cs="Arial"/>
          <w:color w:val="000000"/>
          <w:kern w:val="0"/>
          <w:sz w:val="32"/>
          <w:szCs w:val="32"/>
        </w:rPr>
        <w:t> </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7、负责粮食市场的监测预警工作；承担粮食经营活动情况的信息收集、分析、汇总，为市政府提供决策依据。</w:t>
      </w:r>
      <w:r>
        <w:rPr>
          <w:rFonts w:ascii="Arial" w:hAnsi="Arial" w:eastAsia="仿宋_GB2312" w:cs="Arial"/>
          <w:color w:val="000000"/>
          <w:kern w:val="0"/>
          <w:sz w:val="32"/>
          <w:szCs w:val="32"/>
        </w:rPr>
        <w:t> </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8、负责所属企业单位领导班子的考核、聘任或解聘工作。</w:t>
      </w:r>
      <w:r>
        <w:rPr>
          <w:rFonts w:ascii="Arial" w:hAnsi="Arial" w:eastAsia="仿宋_GB2312" w:cs="Arial"/>
          <w:color w:val="000000"/>
          <w:kern w:val="0"/>
          <w:sz w:val="32"/>
          <w:szCs w:val="32"/>
        </w:rPr>
        <w:t> </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黑体" w:hAnsi="黑体" w:eastAsia="黑体" w:cs="黑体"/>
          <w:kern w:val="0"/>
          <w:sz w:val="32"/>
          <w:szCs w:val="32"/>
        </w:rPr>
      </w:pPr>
      <w:r>
        <w:rPr>
          <w:rFonts w:hint="eastAsia" w:ascii="仿宋_GB2312" w:hAnsi="Arial" w:eastAsia="仿宋_GB2312" w:cs="Arial"/>
          <w:kern w:val="0"/>
          <w:sz w:val="32"/>
          <w:szCs w:val="32"/>
        </w:rPr>
        <w:t>9、承办市政府和上级业务部门交办的其他工作。</w:t>
      </w:r>
    </w:p>
    <w:p>
      <w:pPr>
        <w:widowControl/>
        <w:snapToGrid w:val="0"/>
        <w:spacing w:before="100" w:beforeAutospacing="1" w:after="100" w:afterAutospacing="1"/>
        <w:ind w:firstLine="640" w:firstLineChars="200"/>
        <w:jc w:val="left"/>
        <w:rPr>
          <w:rFonts w:ascii="黑体" w:hAnsi="黑体" w:eastAsia="黑体" w:cs="黑体"/>
          <w:kern w:val="0"/>
          <w:sz w:val="32"/>
          <w:szCs w:val="32"/>
        </w:rPr>
      </w:pPr>
      <w:bookmarkStart w:id="14" w:name="_Toc17796_WPSOffice_Level2"/>
      <w:bookmarkStart w:id="15" w:name="_Toc4833_WPSOffice_Level2"/>
      <w:bookmarkStart w:id="16" w:name="_Toc24474_WPSOffice_Level2"/>
      <w:bookmarkStart w:id="17" w:name="_Toc24059_WPSOffice_Level2"/>
      <w:bookmarkStart w:id="18" w:name="_Toc6572_WPSOffice_Level2"/>
      <w:r>
        <w:rPr>
          <w:rFonts w:hint="eastAsia" w:ascii="黑体" w:hAnsi="黑体" w:eastAsia="黑体" w:cs="黑体"/>
          <w:kern w:val="0"/>
          <w:sz w:val="32"/>
          <w:szCs w:val="32"/>
        </w:rPr>
        <w:t>二、机构设置</w:t>
      </w:r>
      <w:bookmarkEnd w:id="14"/>
      <w:bookmarkEnd w:id="15"/>
      <w:bookmarkEnd w:id="16"/>
      <w:bookmarkEnd w:id="17"/>
      <w:bookmarkEnd w:id="18"/>
    </w:p>
    <w:p>
      <w:pPr>
        <w:widowControl/>
        <w:snapToGrid w:val="0"/>
        <w:spacing w:before="100" w:beforeAutospacing="1" w:after="100" w:afterAutospacing="1"/>
        <w:ind w:firstLine="640" w:firstLineChars="200"/>
        <w:jc w:val="left"/>
        <w:rPr>
          <w:rFonts w:ascii="仿宋_GB2312" w:hAnsi="ˎ̥" w:eastAsia="仿宋_GB2312" w:cs="宋体"/>
          <w:kern w:val="0"/>
          <w:sz w:val="32"/>
          <w:szCs w:val="32"/>
        </w:rPr>
      </w:pPr>
      <w:r>
        <w:rPr>
          <w:rFonts w:hint="eastAsia" w:ascii="仿宋_GB2312" w:hAnsi="ˎ̥" w:eastAsia="仿宋_GB2312" w:cs="宋体"/>
          <w:kern w:val="0"/>
          <w:sz w:val="32"/>
          <w:szCs w:val="32"/>
        </w:rPr>
        <w:t>纳入东方市粮食局部门2018年度部门决算编制范围的二级预算单位包括：</w:t>
      </w:r>
    </w:p>
    <w:p>
      <w:pPr>
        <w:widowControl/>
        <w:snapToGrid w:val="0"/>
        <w:spacing w:before="100" w:beforeAutospacing="1" w:after="100" w:afterAutospacing="1"/>
        <w:ind w:firstLine="640" w:firstLineChars="200"/>
        <w:jc w:val="left"/>
        <w:rPr>
          <w:rFonts w:ascii="楷体" w:hAnsi="楷体" w:eastAsia="楷体" w:cs="楷体"/>
          <w:kern w:val="0"/>
          <w:sz w:val="32"/>
          <w:szCs w:val="32"/>
        </w:rPr>
      </w:pPr>
      <w:bookmarkStart w:id="19" w:name="_Toc24421_WPSOffice_Level2"/>
      <w:bookmarkStart w:id="20" w:name="_Toc25738_WPSOffice_Level2"/>
      <w:r>
        <w:rPr>
          <w:rFonts w:hint="eastAsia" w:ascii="楷体" w:hAnsi="楷体" w:eastAsia="楷体" w:cs="楷体"/>
          <w:kern w:val="0"/>
          <w:sz w:val="32"/>
          <w:szCs w:val="32"/>
        </w:rPr>
        <w:t>（一）东方市粮食局部门本级</w:t>
      </w:r>
      <w:bookmarkEnd w:id="19"/>
      <w:bookmarkEnd w:id="20"/>
    </w:p>
    <w:p>
      <w:pPr>
        <w:widowControl/>
        <w:snapToGrid w:val="0"/>
        <w:spacing w:before="100" w:beforeAutospacing="1" w:after="100" w:afterAutospacing="1"/>
        <w:jc w:val="center"/>
        <w:rPr>
          <w:rFonts w:hint="eastAsia" w:ascii="黑体" w:hAnsi="ˎ̥" w:eastAsia="黑体" w:cs="宋体"/>
          <w:kern w:val="0"/>
          <w:sz w:val="32"/>
          <w:szCs w:val="32"/>
        </w:rPr>
      </w:pPr>
      <w:bookmarkStart w:id="21" w:name="_Toc6234_WPSOffice_Level1"/>
      <w:bookmarkStart w:id="22" w:name="_Toc8164_WPSOffice_Level1"/>
      <w:bookmarkStart w:id="23" w:name="_Toc30451_WPSOffice_Level1"/>
      <w:bookmarkStart w:id="24" w:name="_Toc30690_WPSOffice_Level1"/>
      <w:bookmarkStart w:id="25" w:name="_Toc28253_WPSOffice_Level1"/>
      <w:bookmarkStart w:id="26" w:name="_Toc15521_WPSOffice_Level1"/>
      <w:bookmarkStart w:id="27" w:name="_Toc32695_WPSOffice_Level2"/>
      <w:bookmarkStart w:id="28" w:name="_Toc8867_WPSOffice_Level2"/>
      <w:bookmarkStart w:id="29" w:name="_Toc6211_WPSOffice_Level2"/>
      <w:bookmarkStart w:id="30" w:name="_Toc4029_WPSOffice_Level2"/>
      <w:bookmarkStart w:id="31" w:name="_Toc32472_WPSOffice_Level2"/>
      <w:bookmarkStart w:id="32" w:name="_Toc11518_WPSOffice_Level2"/>
    </w:p>
    <w:p>
      <w:pPr>
        <w:widowControl/>
        <w:snapToGrid w:val="0"/>
        <w:spacing w:before="100" w:beforeAutospacing="1" w:after="100" w:afterAutospacing="1"/>
        <w:jc w:val="center"/>
        <w:rPr>
          <w:rFonts w:ascii="黑体" w:hAnsi="ˎ̥" w:eastAsia="黑体" w:cs="宋体"/>
          <w:kern w:val="0"/>
          <w:sz w:val="32"/>
          <w:szCs w:val="32"/>
        </w:rPr>
      </w:pPr>
      <w:r>
        <w:rPr>
          <w:rFonts w:hint="eastAsia" w:ascii="黑体" w:hAnsi="ˎ̥" w:eastAsia="黑体" w:cs="宋体"/>
          <w:kern w:val="0"/>
          <w:sz w:val="32"/>
          <w:szCs w:val="32"/>
        </w:rPr>
        <w:t>第二部分  东方市粮食局部门2018年度部门决算公开报表</w:t>
      </w:r>
      <w:bookmarkEnd w:id="21"/>
      <w:bookmarkEnd w:id="22"/>
      <w:bookmarkEnd w:id="23"/>
      <w:bookmarkEnd w:id="24"/>
      <w:bookmarkEnd w:id="25"/>
      <w:bookmarkEnd w:id="26"/>
    </w:p>
    <w:p>
      <w:pPr>
        <w:widowControl/>
        <w:snapToGrid w:val="0"/>
        <w:spacing w:before="100" w:beforeAutospacing="1" w:after="100" w:afterAutospacing="1"/>
        <w:ind w:firstLine="645"/>
        <w:jc w:val="left"/>
        <w:rPr>
          <w:rFonts w:ascii="黑体" w:hAnsi="黑体" w:eastAsia="黑体" w:cs="黑体"/>
          <w:kern w:val="0"/>
          <w:sz w:val="32"/>
          <w:szCs w:val="32"/>
        </w:rPr>
      </w:pPr>
      <w:r>
        <w:rPr>
          <w:rFonts w:hint="eastAsia" w:ascii="黑体" w:hAnsi="黑体" w:eastAsia="黑体" w:cs="黑体"/>
          <w:kern w:val="0"/>
          <w:sz w:val="32"/>
          <w:szCs w:val="32"/>
        </w:rPr>
        <w:t>一、收入支出决算公开表（见正文附件）</w:t>
      </w:r>
      <w:bookmarkEnd w:id="27"/>
      <w:bookmarkEnd w:id="28"/>
      <w:bookmarkEnd w:id="29"/>
      <w:r>
        <w:rPr>
          <w:rFonts w:hint="eastAsia" w:ascii="黑体" w:hAnsi="黑体" w:eastAsia="黑体" w:cs="黑体"/>
          <w:kern w:val="0"/>
          <w:sz w:val="32"/>
          <w:szCs w:val="32"/>
        </w:rPr>
        <w:t>。</w:t>
      </w:r>
      <w:bookmarkEnd w:id="30"/>
      <w:bookmarkEnd w:id="31"/>
      <w:bookmarkEnd w:id="32"/>
    </w:p>
    <w:p>
      <w:pPr>
        <w:widowControl/>
        <w:snapToGrid w:val="0"/>
        <w:spacing w:before="100" w:beforeAutospacing="1" w:after="100" w:afterAutospacing="1"/>
        <w:ind w:firstLine="645"/>
        <w:jc w:val="left"/>
        <w:rPr>
          <w:rFonts w:ascii="黑体" w:hAnsi="黑体" w:eastAsia="黑体" w:cs="黑体"/>
          <w:kern w:val="0"/>
          <w:sz w:val="32"/>
          <w:szCs w:val="32"/>
        </w:rPr>
      </w:pPr>
      <w:bookmarkStart w:id="33" w:name="_Toc26621_WPSOffice_Level2"/>
      <w:bookmarkStart w:id="34" w:name="_Toc25608_WPSOffice_Level2"/>
      <w:bookmarkStart w:id="35" w:name="_Toc23139_WPSOffice_Level2"/>
      <w:bookmarkStart w:id="36" w:name="_Toc30334_WPSOffice_Level2"/>
      <w:bookmarkStart w:id="37" w:name="_Toc14349_WPSOffice_Level2"/>
      <w:bookmarkStart w:id="38" w:name="_Toc28622_WPSOffice_Level2"/>
      <w:r>
        <w:rPr>
          <w:rFonts w:hint="eastAsia" w:ascii="黑体" w:hAnsi="黑体" w:eastAsia="黑体" w:cs="黑体"/>
          <w:kern w:val="0"/>
          <w:sz w:val="32"/>
          <w:szCs w:val="32"/>
        </w:rPr>
        <w:t>二、收入决算公开表（见正文附件）</w:t>
      </w:r>
      <w:bookmarkEnd w:id="33"/>
      <w:bookmarkEnd w:id="34"/>
      <w:bookmarkEnd w:id="35"/>
      <w:r>
        <w:rPr>
          <w:rFonts w:hint="eastAsia" w:ascii="黑体" w:hAnsi="黑体" w:eastAsia="黑体" w:cs="黑体"/>
          <w:kern w:val="0"/>
          <w:sz w:val="32"/>
          <w:szCs w:val="32"/>
        </w:rPr>
        <w:t>。</w:t>
      </w:r>
      <w:bookmarkEnd w:id="36"/>
      <w:bookmarkEnd w:id="37"/>
      <w:bookmarkEnd w:id="38"/>
    </w:p>
    <w:p>
      <w:pPr>
        <w:widowControl/>
        <w:snapToGrid w:val="0"/>
        <w:spacing w:before="100" w:beforeAutospacing="1" w:after="100" w:afterAutospacing="1"/>
        <w:ind w:firstLine="645"/>
        <w:jc w:val="left"/>
        <w:rPr>
          <w:rFonts w:ascii="黑体" w:hAnsi="黑体" w:eastAsia="黑体" w:cs="黑体"/>
          <w:kern w:val="0"/>
          <w:sz w:val="32"/>
          <w:szCs w:val="32"/>
        </w:rPr>
      </w:pPr>
      <w:bookmarkStart w:id="39" w:name="_Toc17626_WPSOffice_Level2"/>
      <w:bookmarkStart w:id="40" w:name="_Toc3262_WPSOffice_Level2"/>
      <w:bookmarkStart w:id="41" w:name="_Toc17858_WPSOffice_Level2"/>
      <w:bookmarkStart w:id="42" w:name="_Toc5489_WPSOffice_Level2"/>
      <w:bookmarkStart w:id="43" w:name="_Toc14658_WPSOffice_Level2"/>
      <w:bookmarkStart w:id="44" w:name="_Toc13854_WPSOffice_Level2"/>
      <w:r>
        <w:rPr>
          <w:rFonts w:hint="eastAsia" w:ascii="黑体" w:hAnsi="黑体" w:eastAsia="黑体" w:cs="黑体"/>
          <w:kern w:val="0"/>
          <w:sz w:val="32"/>
          <w:szCs w:val="32"/>
        </w:rPr>
        <w:t>三、支出决算公开表（见正文附件）</w:t>
      </w:r>
      <w:bookmarkEnd w:id="39"/>
      <w:bookmarkEnd w:id="40"/>
      <w:bookmarkEnd w:id="41"/>
      <w:r>
        <w:rPr>
          <w:rFonts w:hint="eastAsia" w:ascii="黑体" w:hAnsi="黑体" w:eastAsia="黑体" w:cs="黑体"/>
          <w:kern w:val="0"/>
          <w:sz w:val="32"/>
          <w:szCs w:val="32"/>
        </w:rPr>
        <w:t>。</w:t>
      </w:r>
      <w:bookmarkEnd w:id="42"/>
      <w:bookmarkEnd w:id="43"/>
      <w:bookmarkEnd w:id="44"/>
    </w:p>
    <w:p>
      <w:pPr>
        <w:widowControl/>
        <w:snapToGrid w:val="0"/>
        <w:spacing w:before="100" w:beforeAutospacing="1" w:after="100" w:afterAutospacing="1"/>
        <w:ind w:firstLine="645"/>
        <w:jc w:val="left"/>
        <w:rPr>
          <w:rFonts w:ascii="黑体" w:hAnsi="黑体" w:eastAsia="黑体" w:cs="黑体"/>
          <w:kern w:val="0"/>
          <w:sz w:val="32"/>
          <w:szCs w:val="32"/>
        </w:rPr>
      </w:pPr>
      <w:bookmarkStart w:id="45" w:name="_Toc23591_WPSOffice_Level2"/>
      <w:bookmarkStart w:id="46" w:name="_Toc21415_WPSOffice_Level2"/>
      <w:bookmarkStart w:id="47" w:name="_Toc13701_WPSOffice_Level2"/>
      <w:bookmarkStart w:id="48" w:name="_Toc4265_WPSOffice_Level2"/>
      <w:bookmarkStart w:id="49" w:name="_Toc7988_WPSOffice_Level2"/>
      <w:bookmarkStart w:id="50" w:name="_Toc23493_WPSOffice_Level2"/>
      <w:r>
        <w:rPr>
          <w:rFonts w:hint="eastAsia" w:ascii="黑体" w:hAnsi="黑体" w:eastAsia="黑体" w:cs="黑体"/>
          <w:kern w:val="0"/>
          <w:sz w:val="32"/>
          <w:szCs w:val="32"/>
        </w:rPr>
        <w:t>四、财政拨款收入支出决算公开表（见正文附件）</w:t>
      </w:r>
      <w:bookmarkEnd w:id="45"/>
      <w:bookmarkEnd w:id="46"/>
      <w:bookmarkEnd w:id="47"/>
      <w:r>
        <w:rPr>
          <w:rFonts w:hint="eastAsia" w:ascii="黑体" w:hAnsi="黑体" w:eastAsia="黑体" w:cs="黑体"/>
          <w:kern w:val="0"/>
          <w:sz w:val="32"/>
          <w:szCs w:val="32"/>
        </w:rPr>
        <w:t>。</w:t>
      </w:r>
      <w:bookmarkEnd w:id="48"/>
      <w:bookmarkEnd w:id="49"/>
      <w:bookmarkEnd w:id="50"/>
    </w:p>
    <w:p>
      <w:pPr>
        <w:widowControl/>
        <w:snapToGrid w:val="0"/>
        <w:spacing w:before="100" w:beforeAutospacing="1" w:after="100" w:afterAutospacing="1"/>
        <w:ind w:firstLine="645"/>
        <w:jc w:val="left"/>
        <w:rPr>
          <w:rFonts w:ascii="黑体" w:hAnsi="黑体" w:eastAsia="黑体" w:cs="黑体"/>
          <w:kern w:val="0"/>
          <w:sz w:val="32"/>
          <w:szCs w:val="32"/>
        </w:rPr>
      </w:pPr>
      <w:bookmarkStart w:id="51" w:name="_Toc7879_WPSOffice_Level2"/>
      <w:bookmarkStart w:id="52" w:name="_Toc25166_WPSOffice_Level2"/>
      <w:bookmarkStart w:id="53" w:name="_Toc23829_WPSOffice_Level2"/>
      <w:bookmarkStart w:id="54" w:name="_Toc22783_WPSOffice_Level2"/>
      <w:bookmarkStart w:id="55" w:name="_Toc13516_WPSOffice_Level2"/>
      <w:bookmarkStart w:id="56" w:name="_Toc2158_WPSOffice_Level2"/>
      <w:r>
        <w:rPr>
          <w:rFonts w:hint="eastAsia" w:ascii="黑体" w:hAnsi="黑体" w:eastAsia="黑体" w:cs="黑体"/>
          <w:kern w:val="0"/>
          <w:sz w:val="32"/>
          <w:szCs w:val="32"/>
        </w:rPr>
        <w:t>五、一般公共预算财政拨款收入支出决算公开表</w:t>
      </w:r>
      <w:bookmarkEnd w:id="51"/>
      <w:bookmarkEnd w:id="52"/>
      <w:bookmarkEnd w:id="53"/>
      <w:bookmarkEnd w:id="54"/>
    </w:p>
    <w:p>
      <w:pPr>
        <w:widowControl/>
        <w:snapToGrid w:val="0"/>
        <w:spacing w:before="100" w:beforeAutospacing="1" w:after="100" w:afterAutospacing="1"/>
        <w:ind w:firstLine="1302" w:firstLineChars="407"/>
        <w:jc w:val="left"/>
        <w:rPr>
          <w:rFonts w:ascii="黑体" w:hAnsi="黑体" w:eastAsia="黑体" w:cs="黑体"/>
          <w:kern w:val="0"/>
          <w:sz w:val="32"/>
          <w:szCs w:val="32"/>
        </w:rPr>
      </w:pPr>
      <w:r>
        <w:rPr>
          <w:rFonts w:hint="eastAsia" w:ascii="黑体" w:hAnsi="黑体" w:eastAsia="黑体" w:cs="黑体"/>
          <w:kern w:val="0"/>
          <w:sz w:val="32"/>
          <w:szCs w:val="32"/>
        </w:rPr>
        <w:t>（见正文附件）</w:t>
      </w:r>
      <w:bookmarkEnd w:id="55"/>
      <w:bookmarkEnd w:id="56"/>
      <w:r>
        <w:rPr>
          <w:rFonts w:hint="eastAsia" w:ascii="黑体" w:hAnsi="黑体" w:eastAsia="黑体" w:cs="黑体"/>
          <w:kern w:val="0"/>
          <w:sz w:val="32"/>
          <w:szCs w:val="32"/>
        </w:rPr>
        <w:t>。</w:t>
      </w:r>
    </w:p>
    <w:p>
      <w:pPr>
        <w:widowControl/>
        <w:snapToGrid w:val="0"/>
        <w:spacing w:before="100" w:beforeAutospacing="1" w:after="100" w:afterAutospacing="1"/>
        <w:ind w:firstLine="645"/>
        <w:jc w:val="left"/>
        <w:rPr>
          <w:rFonts w:ascii="黑体" w:hAnsi="黑体" w:eastAsia="黑体" w:cs="黑体"/>
          <w:kern w:val="0"/>
          <w:sz w:val="32"/>
          <w:szCs w:val="32"/>
        </w:rPr>
      </w:pPr>
      <w:bookmarkStart w:id="57" w:name="_Toc8373_WPSOffice_Level2"/>
      <w:bookmarkStart w:id="58" w:name="_Toc5343_WPSOffice_Level2"/>
      <w:bookmarkStart w:id="59" w:name="_Toc17833_WPSOffice_Level2"/>
      <w:bookmarkStart w:id="60" w:name="_Toc25362_WPSOffice_Level2"/>
      <w:bookmarkStart w:id="61" w:name="_Toc17283_WPSOffice_Level2"/>
      <w:bookmarkStart w:id="62" w:name="_Toc2632_WPSOffice_Level2"/>
      <w:r>
        <w:rPr>
          <w:rFonts w:hint="eastAsia" w:ascii="黑体" w:hAnsi="黑体" w:eastAsia="黑体" w:cs="黑体"/>
          <w:kern w:val="0"/>
          <w:sz w:val="32"/>
          <w:szCs w:val="32"/>
        </w:rPr>
        <w:t>六、一般公共预算财政拨款基本支出决算公开表</w:t>
      </w:r>
      <w:bookmarkEnd w:id="57"/>
      <w:bookmarkEnd w:id="58"/>
      <w:bookmarkEnd w:id="59"/>
      <w:bookmarkEnd w:id="60"/>
      <w:bookmarkEnd w:id="61"/>
      <w:bookmarkEnd w:id="62"/>
    </w:p>
    <w:p>
      <w:pPr>
        <w:widowControl/>
        <w:snapToGrid w:val="0"/>
        <w:spacing w:before="100" w:beforeAutospacing="1" w:after="100" w:afterAutospacing="1"/>
        <w:ind w:firstLine="1280" w:firstLineChars="400"/>
        <w:jc w:val="left"/>
        <w:rPr>
          <w:rFonts w:ascii="黑体" w:hAnsi="黑体" w:eastAsia="黑体" w:cs="黑体"/>
          <w:kern w:val="0"/>
          <w:sz w:val="32"/>
          <w:szCs w:val="32"/>
        </w:rPr>
      </w:pPr>
      <w:r>
        <w:rPr>
          <w:rFonts w:hint="eastAsia" w:ascii="黑体" w:hAnsi="黑体" w:eastAsia="黑体" w:cs="黑体"/>
          <w:kern w:val="0"/>
          <w:sz w:val="32"/>
          <w:szCs w:val="32"/>
        </w:rPr>
        <w:t>（见正文附件）。</w:t>
      </w:r>
    </w:p>
    <w:p>
      <w:pPr>
        <w:widowControl/>
        <w:snapToGrid w:val="0"/>
        <w:spacing w:before="100" w:beforeAutospacing="1" w:after="100" w:afterAutospacing="1"/>
        <w:ind w:left="1118" w:leftChars="304" w:hanging="480" w:hangingChars="150"/>
        <w:jc w:val="left"/>
        <w:rPr>
          <w:rFonts w:ascii="黑体" w:hAnsi="黑体" w:eastAsia="黑体" w:cs="黑体"/>
          <w:kern w:val="0"/>
          <w:sz w:val="32"/>
          <w:szCs w:val="32"/>
        </w:rPr>
      </w:pPr>
      <w:bookmarkStart w:id="63" w:name="_Toc13345_WPSOffice_Level2"/>
      <w:bookmarkStart w:id="64" w:name="_Toc5594_WPSOffice_Level2"/>
      <w:bookmarkStart w:id="65" w:name="_Toc11799_WPSOffice_Level2"/>
      <w:bookmarkStart w:id="66" w:name="_Toc21310_WPSOffice_Level2"/>
      <w:bookmarkStart w:id="67" w:name="_Toc1533_WPSOffice_Level2"/>
      <w:bookmarkStart w:id="68" w:name="_Toc6020_WPSOffice_Level2"/>
      <w:r>
        <w:rPr>
          <w:rFonts w:hint="eastAsia" w:ascii="黑体" w:hAnsi="黑体" w:eastAsia="黑体" w:cs="黑体"/>
          <w:kern w:val="0"/>
          <w:sz w:val="32"/>
          <w:szCs w:val="32"/>
        </w:rPr>
        <w:t>七、政府性基金预算财政拨款收入支出决算公开表</w:t>
      </w:r>
      <w:bookmarkEnd w:id="63"/>
      <w:bookmarkEnd w:id="64"/>
      <w:bookmarkEnd w:id="65"/>
      <w:bookmarkEnd w:id="66"/>
      <w:bookmarkEnd w:id="67"/>
      <w:bookmarkEnd w:id="68"/>
    </w:p>
    <w:p>
      <w:pPr>
        <w:widowControl/>
        <w:snapToGrid w:val="0"/>
        <w:spacing w:before="100" w:beforeAutospacing="1" w:after="100" w:afterAutospacing="1"/>
        <w:ind w:left="1277" w:leftChars="608" w:firstLine="160" w:firstLineChars="50"/>
        <w:jc w:val="left"/>
        <w:rPr>
          <w:rFonts w:ascii="黑体" w:hAnsi="黑体" w:eastAsia="黑体" w:cs="黑体"/>
          <w:kern w:val="0"/>
          <w:sz w:val="32"/>
          <w:szCs w:val="32"/>
        </w:rPr>
      </w:pPr>
      <w:r>
        <w:rPr>
          <w:rFonts w:hint="eastAsia" w:ascii="黑体" w:hAnsi="黑体" w:eastAsia="黑体" w:cs="黑体"/>
          <w:kern w:val="0"/>
          <w:sz w:val="32"/>
          <w:szCs w:val="32"/>
        </w:rPr>
        <w:t>（见正文附件）。</w:t>
      </w:r>
    </w:p>
    <w:p>
      <w:pPr>
        <w:widowControl/>
        <w:snapToGrid w:val="0"/>
        <w:spacing w:before="100" w:beforeAutospacing="1" w:after="100" w:afterAutospacing="1"/>
        <w:jc w:val="left"/>
        <w:rPr>
          <w:rFonts w:ascii="黑体" w:hAnsi="黑体" w:eastAsia="黑体" w:cs="黑体"/>
          <w:kern w:val="0"/>
          <w:sz w:val="32"/>
          <w:szCs w:val="32"/>
        </w:rPr>
      </w:pPr>
      <w:bookmarkStart w:id="69" w:name="_Toc1820_WPSOffice_Level2"/>
      <w:bookmarkStart w:id="70" w:name="_Toc29886_WPSOffice_Level2"/>
      <w:bookmarkStart w:id="71" w:name="_Toc19961_WPSOffice_Level2"/>
      <w:bookmarkStart w:id="72" w:name="_Toc9377_WPSOffice_Level2"/>
      <w:r>
        <w:rPr>
          <w:rFonts w:hint="eastAsia" w:ascii="黑体" w:hAnsi="黑体" w:eastAsia="黑体" w:cs="黑体"/>
          <w:kern w:val="0"/>
          <w:sz w:val="32"/>
          <w:szCs w:val="32"/>
        </w:rPr>
        <w:t xml:space="preserve">    八、一般公共预算财政拨款“三公”经费支出决算</w:t>
      </w:r>
    </w:p>
    <w:p>
      <w:pPr>
        <w:widowControl/>
        <w:snapToGrid w:val="0"/>
        <w:spacing w:before="100" w:beforeAutospacing="1" w:after="100" w:afterAutospacing="1"/>
        <w:jc w:val="left"/>
        <w:rPr>
          <w:rFonts w:ascii="黑体" w:hAnsi="黑体" w:eastAsia="黑体" w:cs="黑体"/>
          <w:kern w:val="0"/>
          <w:sz w:val="32"/>
          <w:szCs w:val="32"/>
        </w:rPr>
      </w:pPr>
      <w:r>
        <w:rPr>
          <w:rFonts w:hint="eastAsia" w:ascii="黑体" w:hAnsi="黑体" w:eastAsia="黑体" w:cs="黑体"/>
          <w:kern w:val="0"/>
          <w:sz w:val="32"/>
          <w:szCs w:val="32"/>
        </w:rPr>
        <w:t xml:space="preserve">          公开表</w:t>
      </w:r>
      <w:bookmarkEnd w:id="69"/>
      <w:bookmarkEnd w:id="70"/>
      <w:bookmarkEnd w:id="71"/>
      <w:bookmarkEnd w:id="72"/>
      <w:r>
        <w:rPr>
          <w:rFonts w:hint="eastAsia" w:ascii="黑体" w:hAnsi="黑体" w:eastAsia="黑体" w:cs="黑体"/>
          <w:kern w:val="0"/>
          <w:sz w:val="32"/>
          <w:szCs w:val="32"/>
        </w:rPr>
        <w:t>（见正文附件）。</w:t>
      </w:r>
    </w:p>
    <w:p>
      <w:pPr>
        <w:widowControl/>
        <w:snapToGrid w:val="0"/>
        <w:spacing w:before="100" w:beforeAutospacing="1" w:after="100" w:afterAutospacing="1"/>
        <w:jc w:val="left"/>
        <w:rPr>
          <w:rFonts w:ascii="黑体" w:hAnsi="黑体" w:eastAsia="黑体" w:cs="黑体"/>
          <w:kern w:val="0"/>
          <w:sz w:val="32"/>
          <w:szCs w:val="32"/>
        </w:rPr>
      </w:pPr>
      <w:r>
        <w:rPr>
          <w:rFonts w:hint="eastAsia" w:ascii="黑体" w:hAnsi="黑体" w:eastAsia="黑体" w:cs="黑体"/>
          <w:kern w:val="0"/>
          <w:sz w:val="32"/>
          <w:szCs w:val="32"/>
        </w:rPr>
        <w:t xml:space="preserve">    九、政府性基金预算财政拨款“三公”经费支出决算</w:t>
      </w:r>
    </w:p>
    <w:p>
      <w:pPr>
        <w:widowControl/>
        <w:snapToGrid w:val="0"/>
        <w:spacing w:before="100" w:beforeAutospacing="1" w:after="100" w:afterAutospacing="1"/>
        <w:jc w:val="left"/>
        <w:rPr>
          <w:rFonts w:ascii="黑体" w:hAnsi="黑体" w:eastAsia="黑体" w:cs="黑体"/>
          <w:kern w:val="0"/>
          <w:sz w:val="32"/>
          <w:szCs w:val="32"/>
        </w:rPr>
      </w:pPr>
      <w:r>
        <w:rPr>
          <w:rFonts w:hint="eastAsia" w:ascii="黑体" w:hAnsi="黑体" w:eastAsia="黑体" w:cs="黑体"/>
          <w:kern w:val="0"/>
          <w:sz w:val="32"/>
          <w:szCs w:val="32"/>
        </w:rPr>
        <w:t xml:space="preserve">          公开表（见正文附件）。</w:t>
      </w:r>
    </w:p>
    <w:p>
      <w:pPr>
        <w:widowControl/>
        <w:snapToGrid w:val="0"/>
        <w:spacing w:before="100" w:beforeAutospacing="1" w:after="100" w:afterAutospacing="1"/>
        <w:ind w:firstLine="640" w:firstLineChars="200"/>
        <w:jc w:val="left"/>
        <w:rPr>
          <w:rFonts w:ascii="楷体" w:hAnsi="楷体" w:eastAsia="楷体" w:cs="楷体"/>
          <w:kern w:val="0"/>
          <w:sz w:val="32"/>
          <w:szCs w:val="32"/>
        </w:rPr>
      </w:pPr>
      <w:r>
        <w:rPr>
          <w:rFonts w:hint="eastAsia" w:ascii="黑体" w:hAnsi="黑体" w:eastAsia="黑体" w:cs="黑体"/>
          <w:kern w:val="0"/>
          <w:sz w:val="32"/>
          <w:szCs w:val="32"/>
        </w:rPr>
        <w:t>十、资产负债决算公开简表（见正文附件）。</w:t>
      </w:r>
    </w:p>
    <w:p>
      <w:pPr>
        <w:widowControl/>
        <w:snapToGrid w:val="0"/>
        <w:spacing w:before="100" w:beforeAutospacing="1" w:after="100" w:afterAutospacing="1"/>
        <w:ind w:firstLine="640" w:firstLineChars="200"/>
        <w:jc w:val="left"/>
        <w:rPr>
          <w:rFonts w:ascii="楷体" w:hAnsi="楷体" w:eastAsia="楷体" w:cs="楷体"/>
          <w:kern w:val="0"/>
          <w:sz w:val="32"/>
          <w:szCs w:val="32"/>
        </w:rPr>
      </w:pPr>
    </w:p>
    <w:p>
      <w:pPr>
        <w:widowControl/>
        <w:snapToGrid w:val="0"/>
        <w:spacing w:before="100" w:beforeAutospacing="1" w:after="100" w:afterAutospacing="1"/>
        <w:jc w:val="center"/>
        <w:rPr>
          <w:rFonts w:ascii="黑体" w:hAnsi="ˎ̥" w:eastAsia="黑体" w:cs="宋体"/>
          <w:kern w:val="0"/>
          <w:sz w:val="32"/>
          <w:szCs w:val="32"/>
        </w:rPr>
      </w:pPr>
      <w:bookmarkStart w:id="73" w:name="_Toc27590_WPSOffice_Level1"/>
      <w:bookmarkStart w:id="74" w:name="_Toc29683_WPSOffice_Level1"/>
      <w:bookmarkStart w:id="75" w:name="_Toc31264_WPSOffice_Level1"/>
      <w:bookmarkStart w:id="76" w:name="_Toc4402_WPSOffice_Level1"/>
      <w:bookmarkStart w:id="77" w:name="_Toc16686_WPSOffice_Level1"/>
      <w:bookmarkStart w:id="78" w:name="_Toc28629_WPSOffice_Level1"/>
      <w:r>
        <w:rPr>
          <w:rFonts w:hint="eastAsia" w:ascii="黑体" w:hAnsi="ˎ̥" w:eastAsia="黑体" w:cs="宋体"/>
          <w:kern w:val="0"/>
          <w:sz w:val="32"/>
          <w:szCs w:val="32"/>
        </w:rPr>
        <w:t>第三部分  东方市粮食局2018年度部门决算情况说明</w:t>
      </w:r>
      <w:bookmarkEnd w:id="73"/>
      <w:bookmarkEnd w:id="74"/>
      <w:bookmarkEnd w:id="75"/>
      <w:bookmarkEnd w:id="76"/>
      <w:bookmarkEnd w:id="77"/>
      <w:bookmarkEnd w:id="78"/>
    </w:p>
    <w:p>
      <w:pPr>
        <w:widowControl/>
        <w:snapToGrid w:val="0"/>
        <w:spacing w:before="100" w:beforeAutospacing="1" w:after="100" w:afterAutospacing="1"/>
        <w:jc w:val="center"/>
        <w:rPr>
          <w:rFonts w:ascii="黑体" w:hAnsi="ˎ̥" w:eastAsia="黑体" w:cs="宋体"/>
          <w:kern w:val="0"/>
          <w:sz w:val="32"/>
          <w:szCs w:val="32"/>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Arial" w:eastAsia="仿宋_GB2312" w:cs="Arial"/>
          <w:kern w:val="0"/>
          <w:sz w:val="32"/>
          <w:szCs w:val="32"/>
        </w:rPr>
      </w:pPr>
      <w:r>
        <w:rPr>
          <w:rFonts w:hint="eastAsia" w:ascii="黑体" w:hAnsi="黑体" w:eastAsia="黑体" w:cs="黑体"/>
          <w:bCs/>
          <w:kern w:val="0"/>
          <w:sz w:val="32"/>
          <w:szCs w:val="32"/>
        </w:rPr>
        <w:t>一、收入支出决算总体情况说明</w:t>
      </w:r>
      <w:r>
        <w:rPr>
          <w:rFonts w:hint="eastAsia" w:ascii="宋体" w:hAnsi="宋体" w:eastAsia="宋体" w:cs="宋体"/>
          <w:kern w:val="0"/>
          <w:sz w:val="24"/>
          <w:szCs w:val="24"/>
        </w:rPr>
        <w:br w:type="textWrapping"/>
      </w:r>
      <w:r>
        <w:rPr>
          <w:rFonts w:hint="eastAsia" w:ascii="楷体_GB2312" w:hAnsi="ˎ̥" w:eastAsia="楷体_GB2312" w:cs="宋体"/>
          <w:kern w:val="0"/>
          <w:sz w:val="32"/>
          <w:szCs w:val="32"/>
        </w:rPr>
        <w:t xml:space="preserve">    </w:t>
      </w:r>
      <w:r>
        <w:rPr>
          <w:rFonts w:hint="eastAsia" w:ascii="仿宋_GB2312" w:hAnsi="ˎ̥" w:eastAsia="仿宋_GB2312" w:cs="宋体"/>
          <w:kern w:val="0"/>
          <w:sz w:val="32"/>
          <w:szCs w:val="32"/>
        </w:rPr>
        <w:t>2018年度收、支总计1,616.61万元，与2017年度相比，收入、支出总计各减少398.11万元，下降24.63%。主要原因：</w:t>
      </w:r>
      <w:r>
        <w:rPr>
          <w:rFonts w:hint="eastAsia" w:ascii="仿宋_GB2312" w:hAnsi="Arial" w:eastAsia="仿宋_GB2312" w:cs="Arial"/>
          <w:kern w:val="0"/>
          <w:sz w:val="32"/>
          <w:szCs w:val="32"/>
        </w:rPr>
        <w:t>是粮食储备库区项目在建</w:t>
      </w:r>
      <w:r>
        <w:rPr>
          <w:rFonts w:hint="eastAsia" w:ascii="仿宋_GB2312" w:hAnsi="ˎ̥" w:eastAsia="仿宋_GB2312" w:cs="宋体"/>
          <w:kern w:val="0"/>
          <w:sz w:val="32"/>
          <w:szCs w:val="32"/>
        </w:rPr>
        <w:t>已接近验收，工程款拨付少。用事业基金弥补收支差额0.00万元，本单位是行政单位没有事业基金弥补。年初结转结余461.68万元，主要是</w:t>
      </w:r>
      <w:r>
        <w:rPr>
          <w:rFonts w:hint="eastAsia" w:ascii="仿宋_GB2312" w:hAnsi="Arial" w:eastAsia="仿宋_GB2312" w:cs="Arial"/>
          <w:kern w:val="0"/>
          <w:sz w:val="32"/>
          <w:szCs w:val="32"/>
        </w:rPr>
        <w:t>粮食储备库区项目的进度未达到拨付的工程量，工程款未拨付</w:t>
      </w:r>
      <w:r>
        <w:rPr>
          <w:rFonts w:hint="eastAsia" w:ascii="仿宋_GB2312" w:hAnsi="ˎ̥" w:eastAsia="仿宋_GB2312" w:cs="宋体"/>
          <w:kern w:val="0"/>
          <w:sz w:val="32"/>
          <w:szCs w:val="32"/>
        </w:rPr>
        <w:t>。较2017年度决算数增加457.55万元，增长11078.69%，主要原因是2018年</w:t>
      </w:r>
      <w:r>
        <w:rPr>
          <w:rFonts w:hint="eastAsia" w:ascii="仿宋_GB2312" w:hAnsi="Arial" w:eastAsia="仿宋_GB2312" w:cs="Arial"/>
          <w:kern w:val="0"/>
          <w:sz w:val="32"/>
          <w:szCs w:val="32"/>
        </w:rPr>
        <w:t>粮食储备库区项目工程量未达到工程款拨付量</w:t>
      </w:r>
      <w:r>
        <w:rPr>
          <w:rFonts w:hint="eastAsia" w:ascii="仿宋_GB2312" w:hAnsi="ˎ̥" w:eastAsia="仿宋_GB2312" w:cs="宋体"/>
          <w:kern w:val="0"/>
          <w:sz w:val="32"/>
          <w:szCs w:val="32"/>
        </w:rPr>
        <w:t>。结余分配0.00万元，本单位为行政单位。年末结转结余630.18万元，主要是粮食储备库区项目工程款，较2017年度决算数增加121.4万元，增长23.86%，主要原因是</w:t>
      </w:r>
      <w:r>
        <w:rPr>
          <w:rFonts w:hint="eastAsia" w:ascii="仿宋_GB2312" w:hAnsi="Arial" w:eastAsia="仿宋_GB2312" w:cs="Arial"/>
          <w:kern w:val="0"/>
          <w:sz w:val="32"/>
          <w:szCs w:val="32"/>
        </w:rPr>
        <w:t>粮食储备库区项目的进度未达到拨付的工程量，工程款未拨付</w:t>
      </w:r>
      <w:r>
        <w:rPr>
          <w:rFonts w:hint="eastAsia" w:ascii="仿宋_GB2312" w:hAnsi="ˎ̥"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 xml:space="preserve"> </w:t>
      </w:r>
      <w:r>
        <w:rPr>
          <w:rFonts w:hint="eastAsia" w:ascii="仿宋_GB2312" w:hAnsi="ˎ̥" w:eastAsia="仿宋_GB2312" w:cs="宋体"/>
          <w:kern w:val="0"/>
          <w:sz w:val="32"/>
          <w:szCs w:val="32"/>
          <w:lang w:val="en-US" w:eastAsia="zh-CN"/>
        </w:rPr>
        <w:t xml:space="preserve">  </w:t>
      </w:r>
      <w:r>
        <w:rPr>
          <w:rFonts w:hint="eastAsia" w:ascii="仿宋_GB2312" w:hAnsi="ˎ̥" w:eastAsia="仿宋_GB2312" w:cs="宋体"/>
          <w:kern w:val="0"/>
          <w:sz w:val="32"/>
          <w:szCs w:val="32"/>
        </w:rPr>
        <w:t xml:space="preserve"> </w:t>
      </w:r>
      <w:r>
        <w:rPr>
          <w:rFonts w:hint="eastAsia" w:ascii="黑体" w:hAnsi="黑体" w:eastAsia="黑体" w:cs="黑体"/>
          <w:bCs/>
          <w:kern w:val="0"/>
          <w:sz w:val="32"/>
          <w:szCs w:val="32"/>
        </w:rPr>
        <w:t>二、收入决算情况说明</w:t>
      </w:r>
      <w:r>
        <w:rPr>
          <w:rFonts w:hint="eastAsia" w:ascii="宋体" w:hAnsi="宋体" w:eastAsia="宋体" w:cs="宋体"/>
          <w:kern w:val="0"/>
          <w:sz w:val="24"/>
          <w:szCs w:val="24"/>
        </w:rPr>
        <w:br w:type="textWrapping"/>
      </w:r>
      <w:r>
        <w:rPr>
          <w:rFonts w:hint="eastAsia" w:ascii="仿宋_GB2312" w:hAnsi="ˎ̥" w:eastAsia="仿宋_GB2312" w:cs="宋体"/>
          <w:kern w:val="0"/>
          <w:sz w:val="32"/>
          <w:szCs w:val="32"/>
        </w:rPr>
        <w:t xml:space="preserve">    本年收入合计1,154.93万元，其中：财政拨款收入1,154.18万元，占99.94%；上级补助收入0.00万元，占0%；事业收入0.00万元，占0%；经营收入0.00万元，占0%；附属单位上缴收入0.00万元，占0%；其他收入0.76万元，占0.06%。</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27" w:firstLineChars="196"/>
        <w:jc w:val="left"/>
        <w:textAlignment w:val="auto"/>
        <w:rPr>
          <w:rFonts w:ascii="黑体" w:hAnsi="黑体" w:eastAsia="黑体" w:cs="黑体"/>
          <w:bCs/>
          <w:kern w:val="0"/>
          <w:sz w:val="32"/>
          <w:szCs w:val="32"/>
        </w:rPr>
      </w:pPr>
      <w:r>
        <w:rPr>
          <w:rFonts w:hint="eastAsia" w:ascii="黑体" w:hAnsi="黑体" w:eastAsia="黑体" w:cs="黑体"/>
          <w:bCs/>
          <w:kern w:val="0"/>
          <w:sz w:val="32"/>
          <w:szCs w:val="32"/>
        </w:rPr>
        <w:t>三、支出决算情况说明</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本年支出合计986.43万元，其中：基本支出134.52万元，占13.64%；项目支出851.91万元，占86.36%；上缴上级支出0.00万元，占0%；经营支出0.00万元，占0%；对附属单位补助支出0.00万元，占0%。</w:t>
      </w:r>
    </w:p>
    <w:p>
      <w:pPr>
        <w:widowControl/>
        <w:snapToGrid w:val="0"/>
        <w:spacing w:before="100" w:beforeAutospacing="1" w:after="100" w:afterAutospacing="1"/>
        <w:ind w:firstLine="627" w:firstLineChars="196"/>
        <w:jc w:val="left"/>
        <w:rPr>
          <w:rFonts w:ascii="黑体" w:hAnsi="黑体" w:eastAsia="黑体" w:cs="黑体"/>
          <w:bCs/>
          <w:kern w:val="0"/>
          <w:sz w:val="32"/>
          <w:szCs w:val="32"/>
        </w:rPr>
      </w:pPr>
      <w:r>
        <w:rPr>
          <w:rFonts w:hint="eastAsia" w:ascii="黑体" w:hAnsi="黑体" w:eastAsia="黑体" w:cs="黑体"/>
          <w:bCs/>
          <w:kern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2018年度财政拨款收入、支出总计1,609.51万元。与2017年度相比，财政拨款收入、支出总计各减少432.2万元，下降21.45%。主要原因：</w:t>
      </w:r>
      <w:r>
        <w:rPr>
          <w:rFonts w:hint="eastAsia" w:ascii="仿宋_GB2312" w:hAnsi="Arial" w:eastAsia="仿宋_GB2312" w:cs="Arial"/>
          <w:kern w:val="0"/>
          <w:sz w:val="32"/>
          <w:szCs w:val="32"/>
        </w:rPr>
        <w:t>一是粮食储备库区项目工程量未达到拨付款量。</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财政拨款年初结转结余455.33万元，主要是粮食储备库区项目工程款项，较2017年度年初决算数增加457.55万元，增长11078.69%，主要原因是原因是2018年</w:t>
      </w:r>
      <w:r>
        <w:rPr>
          <w:rFonts w:hint="eastAsia" w:ascii="仿宋_GB2312" w:hAnsi="Arial" w:eastAsia="仿宋_GB2312" w:cs="Arial"/>
          <w:kern w:val="0"/>
          <w:sz w:val="32"/>
          <w:szCs w:val="32"/>
        </w:rPr>
        <w:t>粮食储备库区项目工程量未达到工程款拨付量</w:t>
      </w:r>
      <w:r>
        <w:rPr>
          <w:rFonts w:hint="eastAsia" w:ascii="仿宋_GB2312" w:hAnsi="ˎ̥"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财政拨款年末结转结余624.03万元，主要是粮食储备库区项目工程款项，较2017年度年末决算数增加115.25万元，增长22.65%，主要原因是粮食储备库区项目工程量未达到拨付工程款量。</w:t>
      </w:r>
    </w:p>
    <w:p>
      <w:pPr>
        <w:widowControl/>
        <w:snapToGrid w:val="0"/>
        <w:spacing w:before="100" w:beforeAutospacing="1" w:after="100" w:afterAutospacing="1"/>
        <w:ind w:firstLine="627" w:firstLineChars="196"/>
        <w:jc w:val="left"/>
        <w:rPr>
          <w:rFonts w:ascii="黑体" w:hAnsi="黑体" w:eastAsia="黑体" w:cs="黑体"/>
          <w:bCs/>
          <w:kern w:val="0"/>
          <w:sz w:val="32"/>
          <w:szCs w:val="32"/>
        </w:rPr>
      </w:pPr>
      <w:r>
        <w:rPr>
          <w:rFonts w:hint="eastAsia" w:ascii="黑体" w:hAnsi="黑体" w:eastAsia="黑体" w:cs="黑体"/>
          <w:bCs/>
          <w:kern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楷体" w:hAnsi="楷体" w:eastAsia="楷体" w:cs="楷体"/>
          <w:kern w:val="0"/>
          <w:sz w:val="32"/>
          <w:szCs w:val="32"/>
        </w:rPr>
      </w:pPr>
      <w:bookmarkStart w:id="79" w:name="_Toc17398_WPSOffice_Level2"/>
      <w:bookmarkStart w:id="80" w:name="_Toc13694_WPSOffice_Level2"/>
      <w:bookmarkStart w:id="81" w:name="_Toc21737_WPSOffice_Level2"/>
      <w:bookmarkStart w:id="82" w:name="_Toc9989_WPSOffice_Level2"/>
      <w:bookmarkStart w:id="83" w:name="_Toc23005_WPSOffice_Level2"/>
      <w:bookmarkStart w:id="84" w:name="_Toc19665_WPSOffice_Level2"/>
      <w:r>
        <w:rPr>
          <w:rFonts w:hint="eastAsia" w:ascii="楷体" w:hAnsi="楷体" w:eastAsia="楷体" w:cs="楷体"/>
          <w:kern w:val="0"/>
          <w:sz w:val="32"/>
          <w:szCs w:val="32"/>
        </w:rPr>
        <w:t>（一）一般公共预算财政拨款支出决算总体情况</w:t>
      </w:r>
      <w:bookmarkEnd w:id="79"/>
      <w:bookmarkEnd w:id="80"/>
      <w:r>
        <w:rPr>
          <w:rFonts w:hint="eastAsia" w:ascii="楷体" w:hAnsi="楷体" w:eastAsia="楷体" w:cs="楷体"/>
          <w:kern w:val="0"/>
          <w:sz w:val="32"/>
          <w:szCs w:val="32"/>
        </w:rPr>
        <w:t>。</w:t>
      </w:r>
      <w:bookmarkEnd w:id="81"/>
      <w:bookmarkEnd w:id="82"/>
      <w:bookmarkEnd w:id="83"/>
      <w:bookmarkEnd w:id="84"/>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2018年度一般公共预算财政拨款支出972.94万元，占本年支出合计的98.58%。与2017年度相比，财政拨款支出增加161.48万元，增长19.9%，主要原因是粮食储备库区项目工程款拨付增加。</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楷体" w:hAnsi="楷体" w:eastAsia="楷体" w:cs="楷体"/>
          <w:kern w:val="0"/>
          <w:sz w:val="32"/>
          <w:szCs w:val="32"/>
        </w:rPr>
      </w:pPr>
      <w:bookmarkStart w:id="85" w:name="_Toc2711_WPSOffice_Level2"/>
      <w:bookmarkStart w:id="86" w:name="_Toc18793_WPSOffice_Level2"/>
      <w:bookmarkStart w:id="87" w:name="_Toc23864_WPSOffice_Level2"/>
      <w:bookmarkStart w:id="88" w:name="_Toc19075_WPSOffice_Level2"/>
      <w:bookmarkStart w:id="89" w:name="_Toc19535_WPSOffice_Level2"/>
      <w:bookmarkStart w:id="90" w:name="_Toc27767_WPSOffice_Level2"/>
      <w:r>
        <w:rPr>
          <w:rFonts w:hint="eastAsia" w:ascii="楷体" w:hAnsi="楷体" w:eastAsia="楷体" w:cs="楷体"/>
          <w:kern w:val="0"/>
          <w:sz w:val="32"/>
          <w:szCs w:val="32"/>
        </w:rPr>
        <w:t>（二）财政拨款支出决算结构情况</w:t>
      </w:r>
      <w:bookmarkEnd w:id="85"/>
      <w:bookmarkEnd w:id="86"/>
      <w:r>
        <w:rPr>
          <w:rFonts w:hint="eastAsia" w:ascii="楷体" w:hAnsi="楷体" w:eastAsia="楷体" w:cs="楷体"/>
          <w:kern w:val="0"/>
          <w:sz w:val="32"/>
          <w:szCs w:val="32"/>
        </w:rPr>
        <w:t>。</w:t>
      </w:r>
      <w:bookmarkEnd w:id="87"/>
      <w:bookmarkEnd w:id="88"/>
      <w:bookmarkEnd w:id="89"/>
      <w:bookmarkEnd w:id="90"/>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2018年度一般公共预算财政拨款支出972.94万元，主要用于以下方面：</w:t>
      </w:r>
      <w:r>
        <w:rPr>
          <w:rFonts w:hint="eastAsia" w:ascii="仿宋_GB2312" w:hAnsi="ˎ̥" w:eastAsia="仿宋_GB2312" w:cs="宋体"/>
          <w:b/>
          <w:kern w:val="0"/>
          <w:sz w:val="32"/>
          <w:szCs w:val="32"/>
        </w:rPr>
        <w:t>社会保障和就业（类）</w:t>
      </w:r>
      <w:r>
        <w:rPr>
          <w:rFonts w:hint="eastAsia" w:ascii="仿宋_GB2312" w:hAnsi="ˎ̥" w:eastAsia="仿宋_GB2312" w:cs="宋体"/>
          <w:kern w:val="0"/>
          <w:sz w:val="32"/>
          <w:szCs w:val="32"/>
        </w:rPr>
        <w:t>支出14.94万元，占1.53%；</w:t>
      </w:r>
      <w:r>
        <w:rPr>
          <w:rFonts w:hint="eastAsia" w:ascii="仿宋_GB2312" w:hAnsi="ˎ̥" w:eastAsia="仿宋_GB2312" w:cs="宋体"/>
          <w:b/>
          <w:bCs/>
          <w:kern w:val="0"/>
          <w:sz w:val="32"/>
          <w:szCs w:val="32"/>
        </w:rPr>
        <w:t>住房保障（类）</w:t>
      </w:r>
      <w:r>
        <w:rPr>
          <w:rFonts w:hint="eastAsia" w:ascii="仿宋_GB2312" w:hAnsi="ˎ̥" w:eastAsia="仿宋_GB2312" w:cs="宋体"/>
          <w:kern w:val="0"/>
          <w:sz w:val="32"/>
          <w:szCs w:val="32"/>
        </w:rPr>
        <w:t>支出8.04万元，占0.83%；</w:t>
      </w:r>
      <w:r>
        <w:rPr>
          <w:rFonts w:hint="eastAsia" w:ascii="仿宋_GB2312" w:hAnsi="ˎ̥" w:eastAsia="仿宋_GB2312" w:cs="宋体"/>
          <w:b/>
          <w:kern w:val="0"/>
          <w:sz w:val="32"/>
          <w:szCs w:val="32"/>
        </w:rPr>
        <w:t>医疗卫生与计划生育支出（类）</w:t>
      </w:r>
      <w:r>
        <w:rPr>
          <w:rFonts w:hint="eastAsia" w:ascii="仿宋_GB2312" w:hAnsi="ˎ̥" w:eastAsia="仿宋_GB2312" w:cs="宋体"/>
          <w:kern w:val="0"/>
          <w:sz w:val="32"/>
          <w:szCs w:val="32"/>
        </w:rPr>
        <w:t>支出22.96万元，占2.36%；</w:t>
      </w:r>
      <w:r>
        <w:rPr>
          <w:rFonts w:hint="eastAsia" w:ascii="仿宋_GB2312" w:hAnsi="ˎ̥" w:eastAsia="仿宋_GB2312" w:cs="宋体"/>
          <w:b/>
          <w:kern w:val="0"/>
          <w:sz w:val="32"/>
          <w:szCs w:val="32"/>
        </w:rPr>
        <w:t>粮油物资储备支出（类）</w:t>
      </w:r>
      <w:r>
        <w:rPr>
          <w:rFonts w:hint="eastAsia" w:ascii="仿宋_GB2312" w:hAnsi="ˎ̥" w:eastAsia="仿宋_GB2312" w:cs="宋体"/>
          <w:kern w:val="0"/>
          <w:sz w:val="32"/>
          <w:szCs w:val="32"/>
        </w:rPr>
        <w:t>支出916.59万元，占94.21%；</w:t>
      </w:r>
      <w:r>
        <w:rPr>
          <w:rFonts w:hint="eastAsia" w:ascii="仿宋_GB2312" w:hAnsi="ˎ̥" w:eastAsia="仿宋_GB2312" w:cs="宋体"/>
          <w:b/>
          <w:kern w:val="0"/>
          <w:sz w:val="32"/>
          <w:szCs w:val="32"/>
        </w:rPr>
        <w:t>节能环保支出（类）</w:t>
      </w:r>
      <w:r>
        <w:rPr>
          <w:rFonts w:hint="eastAsia" w:ascii="仿宋_GB2312" w:hAnsi="ˎ̥" w:eastAsia="仿宋_GB2312" w:cs="宋体"/>
          <w:kern w:val="0"/>
          <w:sz w:val="32"/>
          <w:szCs w:val="32"/>
        </w:rPr>
        <w:t>支出8万元，占0.82%；</w:t>
      </w:r>
      <w:r>
        <w:rPr>
          <w:rFonts w:hint="eastAsia" w:ascii="仿宋_GB2312" w:hAnsi="ˎ̥" w:eastAsia="仿宋_GB2312" w:cs="宋体"/>
          <w:b/>
          <w:kern w:val="0"/>
          <w:sz w:val="32"/>
          <w:szCs w:val="32"/>
        </w:rPr>
        <w:t>农林水支出（类）</w:t>
      </w:r>
      <w:r>
        <w:rPr>
          <w:rFonts w:hint="eastAsia" w:ascii="仿宋_GB2312" w:hAnsi="ˎ̥" w:eastAsia="仿宋_GB2312" w:cs="宋体"/>
          <w:kern w:val="0"/>
          <w:sz w:val="32"/>
          <w:szCs w:val="32"/>
        </w:rPr>
        <w:t>支出2.4万元，占0.25%；</w:t>
      </w:r>
    </w:p>
    <w:p>
      <w:pPr>
        <w:widowControl/>
        <w:snapToGrid w:val="0"/>
        <w:spacing w:before="100" w:beforeAutospacing="1" w:after="100" w:afterAutospacing="1"/>
        <w:ind w:firstLine="640" w:firstLineChars="200"/>
        <w:jc w:val="left"/>
        <w:rPr>
          <w:rFonts w:ascii="楷体" w:hAnsi="楷体" w:eastAsia="楷体" w:cs="楷体"/>
          <w:kern w:val="0"/>
          <w:sz w:val="32"/>
          <w:szCs w:val="32"/>
        </w:rPr>
      </w:pPr>
      <w:bookmarkStart w:id="91" w:name="_Toc21701_WPSOffice_Level2"/>
      <w:bookmarkStart w:id="92" w:name="_Toc15415_WPSOffice_Level2"/>
      <w:bookmarkStart w:id="93" w:name="_Toc22318_WPSOffice_Level2"/>
      <w:bookmarkStart w:id="94" w:name="_Toc25136_WPSOffice_Level2"/>
      <w:bookmarkStart w:id="95" w:name="_Toc29364_WPSOffice_Level2"/>
      <w:bookmarkStart w:id="96" w:name="_Toc9502_WPSOffice_Level2"/>
      <w:r>
        <w:rPr>
          <w:rFonts w:hint="eastAsia" w:ascii="楷体" w:hAnsi="楷体" w:eastAsia="楷体" w:cs="楷体"/>
          <w:kern w:val="0"/>
          <w:sz w:val="32"/>
          <w:szCs w:val="32"/>
        </w:rPr>
        <w:t>（三）财政拨款支出决算具体情况。</w:t>
      </w:r>
      <w:bookmarkEnd w:id="91"/>
      <w:bookmarkEnd w:id="92"/>
      <w:bookmarkEnd w:id="93"/>
      <w:bookmarkEnd w:id="94"/>
      <w:bookmarkEnd w:id="95"/>
      <w:bookmarkEnd w:id="96"/>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2018年度财政拨款支出年初预算为648.53万元，支出决算为972.94万元，完成年初预算的150.02%。其中：</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仿宋_GB2312" w:hAnsi="ˎ̥" w:eastAsia="仿宋_GB2312" w:cs="宋体"/>
          <w:b/>
          <w:color w:val="000000" w:themeColor="text1"/>
          <w:kern w:val="0"/>
          <w:sz w:val="32"/>
          <w:szCs w:val="32"/>
        </w:rPr>
      </w:pPr>
      <w:r>
        <w:rPr>
          <w:rFonts w:hint="eastAsia" w:ascii="仿宋_GB2312" w:hAnsi="ˎ̥" w:eastAsia="仿宋_GB2312" w:cs="宋体"/>
          <w:color w:val="FF0000"/>
          <w:kern w:val="0"/>
          <w:sz w:val="32"/>
          <w:szCs w:val="32"/>
        </w:rPr>
        <w:t xml:space="preserve">   </w:t>
      </w:r>
      <w:r>
        <w:rPr>
          <w:rFonts w:hint="eastAsia" w:ascii="仿宋_GB2312" w:hAnsi="ˎ̥" w:eastAsia="仿宋_GB2312" w:cs="宋体"/>
          <w:b/>
          <w:bCs/>
          <w:color w:val="FF0000"/>
          <w:kern w:val="0"/>
          <w:sz w:val="32"/>
          <w:szCs w:val="32"/>
        </w:rPr>
        <w:t xml:space="preserve"> </w:t>
      </w:r>
      <w:r>
        <w:rPr>
          <w:rFonts w:hint="eastAsia" w:ascii="仿宋_GB2312" w:hAnsi="ˎ̥" w:eastAsia="仿宋_GB2312" w:cs="宋体"/>
          <w:b/>
          <w:bCs/>
          <w:color w:val="000000" w:themeColor="text1"/>
          <w:kern w:val="0"/>
          <w:sz w:val="32"/>
          <w:szCs w:val="32"/>
        </w:rPr>
        <w:t>（1）</w:t>
      </w:r>
      <w:r>
        <w:rPr>
          <w:rFonts w:hint="eastAsia" w:ascii="仿宋_GB2312" w:hAnsi="ˎ̥" w:eastAsia="仿宋_GB2312" w:cs="宋体"/>
          <w:b/>
          <w:color w:val="000000" w:themeColor="text1"/>
          <w:kern w:val="0"/>
          <w:sz w:val="32"/>
          <w:szCs w:val="32"/>
        </w:rPr>
        <w:t>社会保障和就业（类）</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ascii="仿宋_GB2312" w:hAnsi="ˎ̥" w:eastAsia="仿宋_GB2312" w:cs="宋体"/>
          <w:color w:val="000000" w:themeColor="text1"/>
          <w:kern w:val="0"/>
          <w:sz w:val="32"/>
          <w:szCs w:val="32"/>
        </w:rPr>
      </w:pPr>
      <w:r>
        <w:rPr>
          <w:rFonts w:hint="eastAsia" w:ascii="仿宋_GB2312" w:hAnsi="ˎ̥" w:eastAsia="仿宋_GB2312" w:cs="宋体"/>
          <w:color w:val="000000" w:themeColor="text1"/>
          <w:kern w:val="0"/>
          <w:sz w:val="32"/>
          <w:szCs w:val="32"/>
        </w:rPr>
        <w:t>年初预算为22.73万元，支出决算为14.95万元，完成年初预算的0.65%。决算数小于预算数的主要原因：</w:t>
      </w:r>
      <w:r>
        <w:rPr>
          <w:rFonts w:hint="eastAsia" w:ascii="仿宋_GB2312" w:hAnsi="Arial" w:eastAsia="仿宋_GB2312" w:cs="Arial"/>
          <w:color w:val="000000" w:themeColor="text1"/>
          <w:kern w:val="0"/>
          <w:sz w:val="32"/>
          <w:szCs w:val="32"/>
        </w:rPr>
        <w:t>2018年在职人员有退休减少基本养老保险缴费支出。</w:t>
      </w:r>
      <w:r>
        <w:rPr>
          <w:rFonts w:hint="eastAsia" w:ascii="仿宋_GB2312" w:hAnsi="ˎ̥" w:eastAsia="仿宋_GB2312" w:cs="宋体"/>
          <w:color w:val="000000" w:themeColor="text1"/>
          <w:kern w:val="0"/>
          <w:sz w:val="32"/>
          <w:szCs w:val="32"/>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ascii="仿宋_GB2312" w:hAnsi="ˎ̥" w:eastAsia="仿宋_GB2312" w:cs="宋体"/>
          <w:b/>
          <w:bCs/>
          <w:color w:val="000000" w:themeColor="text1"/>
          <w:kern w:val="0"/>
          <w:sz w:val="32"/>
          <w:szCs w:val="32"/>
        </w:rPr>
      </w:pPr>
      <w:r>
        <w:rPr>
          <w:rFonts w:hint="eastAsia" w:ascii="仿宋_GB2312" w:hAnsi="ˎ̥" w:eastAsia="仿宋_GB2312" w:cs="宋体"/>
          <w:b/>
          <w:bCs/>
          <w:color w:val="000000" w:themeColor="text1"/>
          <w:kern w:val="0"/>
          <w:sz w:val="32"/>
          <w:szCs w:val="32"/>
        </w:rPr>
        <w:t>（2）</w:t>
      </w:r>
      <w:r>
        <w:rPr>
          <w:rFonts w:hint="eastAsia" w:ascii="仿宋_GB2312" w:hAnsi="ˎ̥" w:eastAsia="仿宋_GB2312" w:cs="宋体"/>
          <w:b/>
          <w:bCs/>
          <w:color w:val="000000" w:themeColor="text1"/>
          <w:kern w:val="0"/>
          <w:sz w:val="32"/>
          <w:szCs w:val="32"/>
        </w:rPr>
        <w:t>医疗卫生与计划生育（类）</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ascii="仿宋_GB2312" w:hAnsi="ˎ̥" w:eastAsia="仿宋_GB2312" w:cs="宋体"/>
          <w:color w:val="000000" w:themeColor="text1"/>
          <w:kern w:val="0"/>
          <w:sz w:val="32"/>
          <w:szCs w:val="32"/>
        </w:rPr>
      </w:pPr>
      <w:r>
        <w:rPr>
          <w:rFonts w:hint="eastAsia" w:ascii="仿宋_GB2312" w:hAnsi="ˎ̥" w:eastAsia="仿宋_GB2312" w:cs="宋体"/>
          <w:color w:val="000000" w:themeColor="text1"/>
          <w:kern w:val="0"/>
          <w:sz w:val="32"/>
          <w:szCs w:val="32"/>
        </w:rPr>
        <w:t>年初预算为7.53万元，支出决算为22.97万元，完成年初预算的305.05%。决算数大于预算数的主要原因：增加人员社会保障缴费。</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ascii="仿宋_GB2312" w:hAnsi="ˎ̥" w:eastAsia="仿宋_GB2312" w:cs="宋体"/>
          <w:color w:val="000000" w:themeColor="text1"/>
          <w:kern w:val="0"/>
          <w:sz w:val="32"/>
          <w:szCs w:val="32"/>
        </w:rPr>
      </w:pPr>
      <w:r>
        <w:rPr>
          <w:rFonts w:hint="eastAsia" w:ascii="仿宋_GB2312" w:hAnsi="ˎ̥" w:eastAsia="仿宋_GB2312" w:cs="宋体"/>
          <w:b/>
          <w:bCs/>
          <w:color w:val="000000" w:themeColor="text1"/>
          <w:kern w:val="0"/>
          <w:sz w:val="32"/>
          <w:szCs w:val="32"/>
        </w:rPr>
        <w:t>（3）</w:t>
      </w:r>
      <w:r>
        <w:rPr>
          <w:rFonts w:hint="eastAsia" w:ascii="仿宋_GB2312" w:hAnsi="ˎ̥" w:eastAsia="仿宋_GB2312" w:cs="宋体"/>
          <w:b/>
          <w:bCs/>
          <w:color w:val="000000" w:themeColor="text1"/>
          <w:kern w:val="0"/>
          <w:sz w:val="32"/>
          <w:szCs w:val="32"/>
        </w:rPr>
        <w:t>住房保障（类）</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ascii="仿宋_GB2312" w:hAnsi="ˎ̥" w:eastAsia="仿宋_GB2312" w:cs="宋体"/>
          <w:color w:val="000000" w:themeColor="text1"/>
          <w:kern w:val="0"/>
          <w:sz w:val="32"/>
          <w:szCs w:val="32"/>
        </w:rPr>
      </w:pPr>
      <w:r>
        <w:rPr>
          <w:rFonts w:hint="eastAsia" w:ascii="仿宋_GB2312" w:hAnsi="ˎ̥" w:eastAsia="仿宋_GB2312" w:cs="宋体"/>
          <w:color w:val="000000" w:themeColor="text1"/>
          <w:kern w:val="0"/>
          <w:sz w:val="32"/>
          <w:szCs w:val="32"/>
        </w:rPr>
        <w:t>年初预算为9.68万元，支出决算为8.04万元，完成年初预算的83.06%。决算数小于预算数的主要原因：有在职公务员退休减少住房公积金缴费支出。</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ascii="仿宋_GB2312" w:hAnsi="ˎ̥" w:eastAsia="仿宋_GB2312" w:cs="宋体"/>
          <w:b/>
          <w:bCs/>
          <w:color w:val="000000" w:themeColor="text1"/>
          <w:kern w:val="0"/>
          <w:sz w:val="32"/>
          <w:szCs w:val="32"/>
        </w:rPr>
      </w:pPr>
      <w:r>
        <w:rPr>
          <w:rFonts w:hint="eastAsia" w:ascii="仿宋_GB2312" w:hAnsi="ˎ̥" w:eastAsia="仿宋_GB2312" w:cs="宋体"/>
          <w:b/>
          <w:bCs/>
          <w:color w:val="000000" w:themeColor="text1"/>
          <w:kern w:val="0"/>
          <w:sz w:val="32"/>
          <w:szCs w:val="32"/>
        </w:rPr>
        <w:t>（4）</w:t>
      </w:r>
      <w:r>
        <w:rPr>
          <w:rFonts w:hint="eastAsia" w:ascii="仿宋_GB2312" w:hAnsi="ˎ̥" w:eastAsia="仿宋_GB2312" w:cs="宋体"/>
          <w:b/>
          <w:color w:val="000000" w:themeColor="text1"/>
          <w:kern w:val="0"/>
          <w:sz w:val="32"/>
          <w:szCs w:val="32"/>
        </w:rPr>
        <w:t>粮油物资储备支出（类）</w:t>
      </w:r>
      <w:r>
        <w:rPr>
          <w:rFonts w:hint="eastAsia" w:ascii="仿宋_GB2312" w:hAnsi="ˎ̥" w:eastAsia="仿宋_GB2312" w:cs="宋体"/>
          <w:b/>
          <w:bCs/>
          <w:color w:val="000000" w:themeColor="text1"/>
          <w:kern w:val="0"/>
          <w:sz w:val="32"/>
          <w:szCs w:val="32"/>
        </w:rPr>
        <w:t>粮油事务（款）行政运行（项）</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ascii="仿宋_GB2312" w:hAnsi="ˎ̥" w:eastAsia="仿宋_GB2312" w:cs="宋体"/>
          <w:color w:val="000000" w:themeColor="text1"/>
          <w:kern w:val="0"/>
          <w:sz w:val="32"/>
          <w:szCs w:val="32"/>
        </w:rPr>
      </w:pPr>
      <w:r>
        <w:rPr>
          <w:rFonts w:hint="eastAsia" w:ascii="仿宋_GB2312" w:hAnsi="ˎ̥" w:eastAsia="仿宋_GB2312" w:cs="宋体"/>
          <w:color w:val="000000" w:themeColor="text1"/>
          <w:kern w:val="0"/>
          <w:sz w:val="32"/>
          <w:szCs w:val="32"/>
        </w:rPr>
        <w:t>年初预算为603.09万元，支出决算为1540.62万元，完成年初预算的255.45%。决算数大于预算数的主要原因：项目工程量大于年初预算量，财政下达工程款资金。</w:t>
      </w:r>
    </w:p>
    <w:p>
      <w:pPr>
        <w:widowControl/>
        <w:snapToGrid w:val="0"/>
        <w:spacing w:before="100" w:beforeAutospacing="1" w:after="100" w:afterAutospacing="1"/>
        <w:ind w:firstLine="627" w:firstLineChars="196"/>
        <w:jc w:val="left"/>
        <w:rPr>
          <w:rFonts w:ascii="黑体" w:hAnsi="黑体" w:eastAsia="黑体" w:cs="黑体"/>
          <w:kern w:val="0"/>
          <w:sz w:val="32"/>
          <w:szCs w:val="32"/>
        </w:rPr>
      </w:pPr>
      <w:r>
        <w:rPr>
          <w:rFonts w:hint="eastAsia" w:ascii="黑体" w:hAnsi="黑体" w:eastAsia="黑体" w:cs="黑体"/>
          <w:bCs/>
          <w:kern w:val="0"/>
          <w:sz w:val="32"/>
          <w:szCs w:val="32"/>
        </w:rPr>
        <w:t>六、一般公共预算财政拨款基本支出决算情况说明。</w:t>
      </w:r>
    </w:p>
    <w:p>
      <w:pPr>
        <w:keepNext w:val="0"/>
        <w:keepLines w:val="0"/>
        <w:pageBreakBefore w:val="0"/>
        <w:widowControl/>
        <w:tabs>
          <w:tab w:val="center" w:pos="4473"/>
        </w:tabs>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2018年度财政拨款基本支出134.52万元，其中：人员经费125.28万元，主要包括：基本工资、津贴补贴、奖金、机关事业单位基本养老保险缴费、职工基本医疗保险费、公务员医疗补助缴费、其他社会保障缴费、其他工资福利支出、对个人和家庭的补助、生产补助、住房公积金。9.15万元，主要包括：办公费、邮电费、公务接待费、公务用车运行维护费、其他交通费用、其他商品和服务支出。</w:t>
      </w:r>
    </w:p>
    <w:p>
      <w:pPr>
        <w:widowControl/>
        <w:tabs>
          <w:tab w:val="center" w:pos="4473"/>
        </w:tabs>
        <w:snapToGrid w:val="0"/>
        <w:spacing w:before="100" w:beforeAutospacing="1" w:after="100" w:afterAutospacing="1"/>
        <w:ind w:firstLine="627" w:firstLineChars="196"/>
        <w:jc w:val="left"/>
        <w:rPr>
          <w:rFonts w:ascii="黑体" w:hAnsi="黑体" w:eastAsia="黑体" w:cs="黑体"/>
          <w:bCs/>
          <w:kern w:val="0"/>
          <w:sz w:val="32"/>
          <w:szCs w:val="32"/>
        </w:rPr>
      </w:pPr>
      <w:r>
        <w:rPr>
          <w:rFonts w:hint="eastAsia" w:ascii="黑体" w:hAnsi="黑体" w:eastAsia="黑体" w:cs="黑体"/>
          <w:bCs/>
          <w:kern w:val="0"/>
          <w:sz w:val="32"/>
          <w:szCs w:val="32"/>
        </w:rPr>
        <w:t>七、政府性基金预算财政拨款收入支出决算情况说明</w:t>
      </w:r>
    </w:p>
    <w:p>
      <w:pPr>
        <w:keepNext w:val="0"/>
        <w:keepLines w:val="0"/>
        <w:pageBreakBefore w:val="0"/>
        <w:widowControl/>
        <w:tabs>
          <w:tab w:val="center" w:pos="4473"/>
        </w:tabs>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一）2018年度政府性基金预算财政拨款收入12.54万元，主要是粮食局大院污水排水系统改造支出，较2017年度减少517.42万元，下降97.66%。主要原因：一2017年粮食储备库工程款从政府性基金支付，2018年已转为一般公共支出。</w:t>
      </w:r>
    </w:p>
    <w:p>
      <w:pPr>
        <w:keepNext w:val="0"/>
        <w:keepLines w:val="0"/>
        <w:pageBreakBefore w:val="0"/>
        <w:widowControl/>
        <w:tabs>
          <w:tab w:val="center" w:pos="4473"/>
        </w:tabs>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（二）2018年度政府性基金预算财政拨款支出12.54万元，较2017年度减少517.42万元，下降97.66%。</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（三）2018年度财政拨款支出年初预算为20万元，支出决算为12.54万元，完成年初预算的62.7%。其中：</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3" w:firstLineChars="200"/>
        <w:jc w:val="left"/>
        <w:textAlignment w:val="auto"/>
        <w:rPr>
          <w:rFonts w:ascii="仿宋_GB2312" w:hAnsi="ˎ̥" w:eastAsia="仿宋_GB2312" w:cs="宋体"/>
          <w:b/>
          <w:kern w:val="0"/>
          <w:sz w:val="32"/>
          <w:szCs w:val="32"/>
        </w:rPr>
      </w:pPr>
      <w:r>
        <w:rPr>
          <w:rFonts w:hint="eastAsia" w:ascii="仿宋_GB2312" w:hAnsi="ˎ̥" w:eastAsia="仿宋_GB2312" w:cs="宋体"/>
          <w:b/>
          <w:bCs/>
          <w:kern w:val="0"/>
          <w:sz w:val="32"/>
          <w:szCs w:val="32"/>
        </w:rPr>
        <w:t>1</w:t>
      </w:r>
      <w:r>
        <w:rPr>
          <w:rFonts w:hint="eastAsia" w:ascii="仿宋_GB2312" w:hAnsi="ˎ̥" w:eastAsia="仿宋_GB2312" w:cs="宋体"/>
          <w:b/>
          <w:bCs/>
          <w:kern w:val="0"/>
          <w:sz w:val="32"/>
          <w:szCs w:val="32"/>
          <w:lang w:eastAsia="zh-CN"/>
        </w:rPr>
        <w:t>.</w:t>
      </w:r>
      <w:r>
        <w:rPr>
          <w:rFonts w:hint="eastAsia" w:ascii="仿宋_GB2312" w:hAnsi="ˎ̥" w:eastAsia="仿宋_GB2312" w:cs="宋体"/>
          <w:b/>
          <w:bCs/>
          <w:kern w:val="0"/>
          <w:sz w:val="32"/>
          <w:szCs w:val="32"/>
        </w:rPr>
        <w:t>城乡社区支出（类）污水处理费及对应专项债务收入安排的支出（款）其他污水处理费安排的支出（项）</w:t>
      </w:r>
      <w:r>
        <w:rPr>
          <w:rFonts w:hint="eastAsia" w:ascii="仿宋_GB2312" w:hAnsi="ˎ̥" w:eastAsia="仿宋_GB2312" w:cs="宋体"/>
          <w:b/>
          <w:kern w:val="0"/>
          <w:sz w:val="32"/>
          <w:szCs w:val="32"/>
        </w:rPr>
        <w:t>。</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 xml:space="preserve">    年初预算为20万元，支出决算为12.54万元，完成年初预算的62.7%。决算数小于预算数的主要原因：一是项目已完工，根据实际情况施工决算合同付款。   </w:t>
      </w:r>
    </w:p>
    <w:p>
      <w:pPr>
        <w:widowControl/>
        <w:snapToGrid w:val="0"/>
        <w:spacing w:before="100" w:beforeAutospacing="1" w:after="100" w:afterAutospacing="1"/>
        <w:ind w:firstLine="627" w:firstLineChars="196"/>
        <w:jc w:val="left"/>
        <w:rPr>
          <w:rFonts w:ascii="仿宋_GB2312" w:hAnsi="ˎ̥" w:eastAsia="楷体_GB2312" w:cs="宋体"/>
          <w:kern w:val="0"/>
          <w:sz w:val="32"/>
          <w:szCs w:val="32"/>
        </w:rPr>
      </w:pPr>
      <w:r>
        <w:rPr>
          <w:rFonts w:hint="eastAsia" w:ascii="黑体" w:hAnsi="黑体" w:eastAsia="黑体" w:cs="黑体"/>
          <w:bCs/>
          <w:kern w:val="0"/>
          <w:sz w:val="32"/>
          <w:szCs w:val="32"/>
        </w:rPr>
        <w:t>八、一般公共预算财政拨款“三公”经费支出决算情况说明</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3" w:firstLineChars="200"/>
        <w:jc w:val="left"/>
        <w:textAlignment w:val="auto"/>
        <w:rPr>
          <w:rFonts w:ascii="楷体" w:hAnsi="楷体" w:eastAsia="楷体" w:cs="楷体"/>
          <w:kern w:val="0"/>
          <w:sz w:val="32"/>
          <w:szCs w:val="32"/>
        </w:rPr>
      </w:pPr>
      <w:r>
        <w:rPr>
          <w:rFonts w:hint="eastAsia" w:ascii="楷体" w:hAnsi="楷体" w:eastAsia="楷体" w:cs="楷体"/>
          <w:b/>
          <w:kern w:val="0"/>
          <w:sz w:val="32"/>
          <w:szCs w:val="32"/>
        </w:rPr>
        <w:t>（一）一般公共预算财政拨款“三公”经费支出决算总体情况说明。</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ˎ̥" w:eastAsia="仿宋_GB2312" w:cs="宋体"/>
          <w:kern w:val="0"/>
          <w:sz w:val="32"/>
          <w:szCs w:val="32"/>
          <w:lang w:eastAsia="zh-CN"/>
        </w:rPr>
      </w:pPr>
      <w:r>
        <w:rPr>
          <w:rFonts w:hint="eastAsia" w:ascii="仿宋_GB2312" w:hAnsi="ˎ̥" w:eastAsia="仿宋_GB2312" w:cs="宋体"/>
          <w:kern w:val="0"/>
          <w:sz w:val="32"/>
          <w:szCs w:val="32"/>
        </w:rPr>
        <w:t>2018年度一般公共预算财政拨款“三公”经费支出预算为6.8万元，支出决算为2.33万元，完成预算的34.26%，决算数小于预算数的主要原因：</w:t>
      </w:r>
      <w:r>
        <w:rPr>
          <w:rFonts w:hint="eastAsia" w:ascii="仿宋_GB2312" w:hAnsi="Arial" w:eastAsia="仿宋_GB2312" w:cs="Arial"/>
          <w:kern w:val="0"/>
          <w:sz w:val="32"/>
          <w:szCs w:val="32"/>
        </w:rPr>
        <w:t>一是公务用车购置及运行费支出减少；二是公务接待费减少</w:t>
      </w:r>
      <w:r>
        <w:rPr>
          <w:rFonts w:hint="eastAsia" w:ascii="仿宋_GB2312" w:hAnsi="Arial" w:eastAsia="仿宋_GB2312" w:cs="Arial"/>
          <w:kern w:val="0"/>
          <w:sz w:val="32"/>
          <w:szCs w:val="32"/>
          <w:lang w:eastAsia="zh-CN"/>
        </w:rPr>
        <w:t>。</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jc w:val="left"/>
        <w:textAlignment w:val="auto"/>
        <w:rPr>
          <w:rFonts w:ascii="楷体" w:hAnsi="楷体" w:eastAsia="楷体" w:cs="楷体"/>
          <w:kern w:val="0"/>
          <w:sz w:val="32"/>
          <w:szCs w:val="32"/>
        </w:rPr>
      </w:pPr>
      <w:r>
        <w:rPr>
          <w:rFonts w:hint="eastAsia" w:ascii="楷体" w:hAnsi="楷体" w:eastAsia="楷体" w:cs="楷体"/>
          <w:kern w:val="0"/>
          <w:sz w:val="32"/>
          <w:szCs w:val="32"/>
        </w:rPr>
        <w:t xml:space="preserve">    </w:t>
      </w:r>
      <w:r>
        <w:rPr>
          <w:rFonts w:hint="eastAsia" w:ascii="楷体" w:hAnsi="楷体" w:eastAsia="楷体" w:cs="楷体"/>
          <w:b/>
          <w:bCs/>
          <w:kern w:val="0"/>
          <w:sz w:val="32"/>
          <w:szCs w:val="32"/>
        </w:rPr>
        <w:t>（二）一般公共预算财政拨款</w:t>
      </w:r>
      <w:r>
        <w:rPr>
          <w:rFonts w:hint="eastAsia" w:ascii="楷体" w:hAnsi="楷体" w:eastAsia="楷体" w:cs="楷体"/>
          <w:b/>
          <w:kern w:val="0"/>
          <w:sz w:val="32"/>
          <w:szCs w:val="32"/>
        </w:rPr>
        <w:t>“三公”经费财政拨款支出决算具体情况说明。</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2018年度一般公共预算财政拨款“三公”经费支出决算中，因公出国（境）费支出0.00万元，占0%；公务用车购置费0.00万元，占0%；公务用车运行维护费支出2.02万元，占87.12%；公务接待费支出0.30万元，占12.88%。具体情况如下：</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3" w:firstLineChars="200"/>
        <w:jc w:val="left"/>
        <w:textAlignment w:val="auto"/>
        <w:rPr>
          <w:rFonts w:ascii="仿宋_GB2312" w:hAnsi="ˎ̥" w:eastAsia="仿宋_GB2312" w:cs="宋体"/>
          <w:kern w:val="0"/>
          <w:sz w:val="32"/>
          <w:szCs w:val="32"/>
        </w:rPr>
      </w:pPr>
      <w:r>
        <w:rPr>
          <w:rFonts w:hint="eastAsia" w:ascii="仿宋_GB2312" w:hAnsi="ˎ̥" w:eastAsia="仿宋_GB2312" w:cs="宋体"/>
          <w:b/>
          <w:kern w:val="0"/>
          <w:sz w:val="32"/>
          <w:szCs w:val="32"/>
        </w:rPr>
        <w:t>1.因公出国（境）费</w:t>
      </w:r>
      <w:r>
        <w:rPr>
          <w:rFonts w:hint="eastAsia" w:ascii="仿宋_GB2312" w:hAnsi="ˎ̥" w:eastAsia="仿宋_GB2312" w:cs="宋体"/>
          <w:kern w:val="0"/>
          <w:sz w:val="32"/>
          <w:szCs w:val="32"/>
        </w:rPr>
        <w:t>支出0.00万元。全年安排因公出国（境）团组0个，因公出国（境）0人次。开支内容包括：</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本单位2017</w:t>
      </w:r>
      <w:r>
        <w:rPr>
          <w:rFonts w:hint="eastAsia" w:ascii="仿宋_GB2312" w:hAnsi="ˎ̥" w:eastAsia="仿宋_GB2312" w:cs="宋体"/>
          <w:kern w:val="0"/>
          <w:sz w:val="32"/>
          <w:szCs w:val="32"/>
          <w:lang w:eastAsia="zh-CN"/>
        </w:rPr>
        <w:t>、</w:t>
      </w:r>
      <w:r>
        <w:rPr>
          <w:rFonts w:hint="eastAsia" w:ascii="仿宋_GB2312" w:hAnsi="ˎ̥" w:eastAsia="仿宋_GB2312" w:cs="宋体"/>
          <w:kern w:val="0"/>
          <w:sz w:val="32"/>
          <w:szCs w:val="32"/>
        </w:rPr>
        <w:t>2018均无因公出国费用。</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jc w:val="left"/>
        <w:textAlignment w:val="auto"/>
        <w:rPr>
          <w:rFonts w:ascii="仿宋_GB2312" w:hAnsi="ˎ̥" w:eastAsia="仿宋_GB2312" w:cs="宋体"/>
          <w:kern w:val="0"/>
          <w:sz w:val="32"/>
          <w:szCs w:val="32"/>
        </w:rPr>
      </w:pPr>
      <w:r>
        <w:rPr>
          <w:rFonts w:hint="eastAsia" w:ascii="仿宋_GB2312" w:hAnsi="ˎ̥" w:eastAsia="仿宋_GB2312" w:cs="宋体"/>
          <w:b/>
          <w:kern w:val="0"/>
          <w:sz w:val="32"/>
          <w:szCs w:val="32"/>
        </w:rPr>
        <w:t xml:space="preserve">    2.公务用车购置及运行费支出</w:t>
      </w:r>
      <w:r>
        <w:rPr>
          <w:rFonts w:hint="eastAsia" w:ascii="仿宋_GB2312" w:hAnsi="ˎ̥" w:eastAsia="仿宋_GB2312" w:cs="宋体"/>
          <w:kern w:val="0"/>
          <w:sz w:val="32"/>
          <w:szCs w:val="32"/>
        </w:rPr>
        <w:t>2.02万元。其中：</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3" w:firstLineChars="200"/>
        <w:jc w:val="left"/>
        <w:textAlignment w:val="auto"/>
        <w:rPr>
          <w:rFonts w:ascii="仿宋_GB2312" w:hAnsi="ˎ̥" w:eastAsia="仿宋_GB2312" w:cs="宋体"/>
          <w:kern w:val="0"/>
          <w:sz w:val="32"/>
          <w:szCs w:val="32"/>
        </w:rPr>
      </w:pPr>
      <w:r>
        <w:rPr>
          <w:rFonts w:hint="eastAsia" w:ascii="仿宋_GB2312" w:hAnsi="ˎ̥" w:eastAsia="仿宋_GB2312" w:cs="宋体"/>
          <w:b/>
          <w:kern w:val="0"/>
          <w:sz w:val="32"/>
          <w:szCs w:val="32"/>
        </w:rPr>
        <w:t>公务用车购置支出</w:t>
      </w:r>
      <w:r>
        <w:rPr>
          <w:rFonts w:hint="eastAsia" w:ascii="仿宋_GB2312" w:hAnsi="ˎ̥" w:eastAsia="仿宋_GB2312" w:cs="宋体"/>
          <w:kern w:val="0"/>
          <w:sz w:val="32"/>
          <w:szCs w:val="32"/>
        </w:rPr>
        <w:t>0.00万元，全年购置公务用车0辆，本单位没有购置公务用车，年末公务用车保有量1辆。</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ascii="仿宋_GB2312" w:hAnsi="ˎ̥" w:eastAsia="仿宋_GB2312" w:cs="宋体"/>
          <w:kern w:val="0"/>
          <w:sz w:val="32"/>
          <w:szCs w:val="32"/>
        </w:rPr>
      </w:pPr>
      <w:r>
        <w:rPr>
          <w:rFonts w:hint="eastAsia" w:ascii="仿宋_GB2312" w:hAnsi="ˎ̥" w:eastAsia="仿宋_GB2312" w:cs="宋体"/>
          <w:b/>
          <w:kern w:val="0"/>
          <w:sz w:val="32"/>
          <w:szCs w:val="32"/>
        </w:rPr>
        <w:t>公务用车运行维护费</w:t>
      </w:r>
      <w:r>
        <w:rPr>
          <w:rFonts w:hint="eastAsia" w:ascii="仿宋_GB2312" w:hAnsi="ˎ̥" w:eastAsia="仿宋_GB2312" w:cs="宋体"/>
          <w:kern w:val="0"/>
          <w:sz w:val="32"/>
          <w:szCs w:val="32"/>
        </w:rPr>
        <w:t>支出2.02万元，主要用于</w:t>
      </w:r>
      <w:r>
        <w:rPr>
          <w:rFonts w:hint="eastAsia" w:ascii="仿宋_GB2312" w:hAnsi="Arial" w:eastAsia="仿宋_GB2312" w:cs="Arial"/>
          <w:kern w:val="0"/>
          <w:sz w:val="32"/>
          <w:szCs w:val="32"/>
        </w:rPr>
        <w:t>日常公务用车以及到各市县出差调研、检查工作、下乡扶贫等工作中产生的车辆燃料费、维修费、停车费、通行费、保险费、年检费等。</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bCs/>
          <w:kern w:val="0"/>
          <w:sz w:val="32"/>
          <w:szCs w:val="32"/>
        </w:rPr>
      </w:pPr>
      <w:r>
        <w:rPr>
          <w:rFonts w:hint="eastAsia" w:ascii="仿宋_GB2312" w:hAnsi="ˎ̥" w:eastAsia="仿宋_GB2312" w:cs="宋体"/>
          <w:bCs/>
          <w:kern w:val="0"/>
          <w:sz w:val="32"/>
          <w:szCs w:val="32"/>
        </w:rPr>
        <w:t>公务用车购置及运行费支出决算</w:t>
      </w:r>
      <w:r>
        <w:rPr>
          <w:rFonts w:hint="eastAsia" w:ascii="仿宋_GB2312" w:hAnsi="ˎ̥" w:eastAsia="仿宋_GB2312" w:cs="宋体"/>
          <w:kern w:val="0"/>
          <w:sz w:val="32"/>
          <w:szCs w:val="32"/>
        </w:rPr>
        <w:t>比2017年度减少2.47万元，下降55.01%。主要原因是公务用车维修减少，公务用车减少。</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jc w:val="left"/>
        <w:textAlignment w:val="auto"/>
        <w:rPr>
          <w:rFonts w:ascii="仿宋_GB2312" w:hAnsi="ˎ̥" w:eastAsia="仿宋_GB2312" w:cs="宋体"/>
          <w:kern w:val="0"/>
          <w:sz w:val="32"/>
          <w:szCs w:val="32"/>
        </w:rPr>
      </w:pPr>
      <w:r>
        <w:rPr>
          <w:rFonts w:hint="eastAsia" w:ascii="仿宋_GB2312" w:hAnsi="ˎ̥" w:eastAsia="仿宋_GB2312" w:cs="宋体"/>
          <w:b/>
          <w:kern w:val="0"/>
          <w:sz w:val="32"/>
          <w:szCs w:val="32"/>
        </w:rPr>
        <w:t xml:space="preserve">    3.公务接待费支出</w:t>
      </w:r>
      <w:r>
        <w:rPr>
          <w:rFonts w:hint="eastAsia" w:ascii="仿宋_GB2312" w:hAnsi="ˎ̥" w:eastAsia="仿宋_GB2312" w:cs="宋体"/>
          <w:kern w:val="0"/>
          <w:sz w:val="32"/>
          <w:szCs w:val="32"/>
        </w:rPr>
        <w:t>0.30万元，其中：</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公务接待费支出决算比2017年度减少0.27万元，增下降47.36%。主要原因是例行节约。</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3" w:firstLineChars="200"/>
        <w:jc w:val="left"/>
        <w:textAlignment w:val="auto"/>
        <w:rPr>
          <w:rFonts w:ascii="仿宋_GB2312" w:hAnsi="ˎ̥" w:eastAsia="仿宋_GB2312" w:cs="宋体"/>
          <w:kern w:val="0"/>
          <w:sz w:val="32"/>
          <w:szCs w:val="32"/>
        </w:rPr>
      </w:pPr>
      <w:r>
        <w:rPr>
          <w:rFonts w:hint="eastAsia" w:ascii="仿宋_GB2312" w:hAnsi="ˎ̥" w:eastAsia="仿宋_GB2312" w:cs="宋体"/>
          <w:b/>
          <w:kern w:val="0"/>
          <w:sz w:val="32"/>
          <w:szCs w:val="32"/>
        </w:rPr>
        <w:t>国内接待费</w:t>
      </w:r>
      <w:r>
        <w:rPr>
          <w:rFonts w:hint="eastAsia" w:ascii="仿宋_GB2312" w:hAnsi="ˎ̥" w:eastAsia="仿宋_GB2312" w:cs="宋体"/>
          <w:kern w:val="0"/>
          <w:sz w:val="32"/>
          <w:szCs w:val="32"/>
        </w:rPr>
        <w:t>支出0.3万元，国内公务接待3批次，接待10人次；主要用于</w:t>
      </w:r>
      <w:r>
        <w:rPr>
          <w:rFonts w:hint="eastAsia" w:ascii="仿宋_GB2312" w:hAnsi="Arial" w:eastAsia="仿宋_GB2312" w:cs="Arial"/>
          <w:kern w:val="0"/>
          <w:sz w:val="32"/>
          <w:szCs w:val="32"/>
        </w:rPr>
        <w:t>外市县业务对口部门、市内相关部门项目调研、考察、交流等接待任务</w:t>
      </w:r>
      <w:r>
        <w:rPr>
          <w:rFonts w:hint="eastAsia" w:ascii="仿宋_GB2312" w:hAnsi="ˎ̥"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国（境）外接待费支出0万元。</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27" w:firstLineChars="196"/>
        <w:jc w:val="left"/>
        <w:textAlignment w:val="auto"/>
        <w:rPr>
          <w:rFonts w:ascii="仿宋_GB2312" w:hAnsi="ˎ̥" w:eastAsia="楷体_GB2312" w:cs="宋体"/>
          <w:kern w:val="0"/>
          <w:sz w:val="32"/>
          <w:szCs w:val="32"/>
        </w:rPr>
      </w:pPr>
      <w:r>
        <w:rPr>
          <w:rFonts w:hint="eastAsia" w:ascii="黑体" w:hAnsi="黑体" w:eastAsia="黑体" w:cs="黑体"/>
          <w:bCs/>
          <w:kern w:val="0"/>
          <w:sz w:val="32"/>
          <w:szCs w:val="32"/>
        </w:rPr>
        <w:t>九、政府性基金预算财政拨款“三公”经费支出决算情况说明</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hint="eastAsia" w:ascii="仿宋_GB2312" w:hAnsi="ˎ̥" w:eastAsia="仿宋_GB2312" w:cs="宋体"/>
          <w:kern w:val="0"/>
          <w:sz w:val="32"/>
          <w:szCs w:val="32"/>
        </w:rPr>
      </w:pPr>
      <w:r>
        <w:rPr>
          <w:rFonts w:hint="eastAsia" w:ascii="仿宋_GB2312" w:hAnsi="ˎ̥" w:eastAsia="仿宋_GB2312" w:cs="宋体"/>
          <w:kern w:val="0"/>
          <w:sz w:val="32"/>
          <w:szCs w:val="32"/>
        </w:rPr>
        <w:t>2018年度政府性基金预算财政拨款“三公”经费支出合计0万元。</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黑体" w:hAnsi="黑体" w:eastAsia="黑体" w:cs="黑体"/>
          <w:bCs/>
          <w:kern w:val="0"/>
          <w:sz w:val="32"/>
          <w:szCs w:val="32"/>
        </w:rPr>
      </w:pPr>
      <w:r>
        <w:rPr>
          <w:rFonts w:hint="eastAsia" w:ascii="黑体" w:hAnsi="黑体" w:eastAsia="黑体" w:cs="黑体"/>
          <w:bCs/>
          <w:kern w:val="0"/>
          <w:sz w:val="32"/>
          <w:szCs w:val="32"/>
        </w:rPr>
        <w:t>十、资产负债决算情况说明</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2018年度末部门资产总计1,906.51万元，负债总计729.16万元，净资产总计1,177.35万元，国有资产总量1,177.35万元。</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黑体" w:hAnsi="黑体" w:eastAsia="黑体" w:cs="黑体"/>
          <w:bCs/>
          <w:kern w:val="0"/>
          <w:sz w:val="32"/>
          <w:szCs w:val="32"/>
        </w:rPr>
      </w:pPr>
      <w:r>
        <w:rPr>
          <w:rFonts w:hint="eastAsia" w:ascii="黑体" w:hAnsi="黑体" w:eastAsia="黑体" w:cs="黑体"/>
          <w:bCs/>
          <w:kern w:val="0"/>
          <w:sz w:val="32"/>
          <w:szCs w:val="32"/>
        </w:rPr>
        <w:t>十一、预算绩效情况说明。</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3" w:firstLineChars="200"/>
        <w:jc w:val="left"/>
        <w:textAlignment w:val="auto"/>
        <w:rPr>
          <w:rFonts w:ascii="楷体" w:hAnsi="楷体" w:eastAsia="楷体" w:cs="楷体"/>
          <w:b/>
          <w:kern w:val="0"/>
          <w:sz w:val="32"/>
          <w:szCs w:val="32"/>
        </w:rPr>
      </w:pPr>
      <w:r>
        <w:rPr>
          <w:rFonts w:hint="eastAsia" w:ascii="楷体" w:hAnsi="楷体" w:eastAsia="楷体" w:cs="楷体"/>
          <w:b/>
          <w:kern w:val="0"/>
          <w:sz w:val="32"/>
          <w:szCs w:val="32"/>
        </w:rPr>
        <w:t>（一）绩效管理工作开展情况。</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根据财政预算管理要求，东方市粮食局组织对2018年度一般公共预算项目支出开展了绩效自评。自评项目2个，共涉及资金267万元，自评覆盖率达到100%。</w:t>
      </w:r>
    </w:p>
    <w:p>
      <w:pPr>
        <w:widowControl/>
        <w:snapToGrid w:val="0"/>
        <w:spacing w:before="100" w:beforeAutospacing="1" w:after="100" w:afterAutospacing="1" w:line="578"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（二）部门决算中项目绩效自评结果。</w:t>
      </w:r>
    </w:p>
    <w:p>
      <w:pPr>
        <w:widowControl/>
        <w:snapToGrid w:val="0"/>
        <w:spacing w:line="570" w:lineRule="exact"/>
        <w:ind w:firstLine="640" w:firstLineChars="200"/>
        <w:jc w:val="left"/>
        <w:outlineLvl w:val="0"/>
        <w:rPr>
          <w:rFonts w:ascii="仿宋_GB2312" w:hAnsi="仿宋_GB2312" w:eastAsia="仿宋_GB2312" w:cs="仿宋_GB2312"/>
          <w:kern w:val="0"/>
          <w:sz w:val="32"/>
          <w:szCs w:val="32"/>
        </w:rPr>
      </w:pPr>
      <w:r>
        <w:rPr>
          <w:rFonts w:hint="eastAsia" w:ascii="仿宋_GB2312" w:hAnsi="宋体" w:eastAsia="仿宋_GB2312" w:cs="宋体"/>
          <w:color w:val="000000" w:themeColor="text1"/>
          <w:kern w:val="0"/>
          <w:sz w:val="32"/>
          <w:szCs w:val="32"/>
        </w:rPr>
        <w:t>储备粮保管费项目自评得分为100分。该项目</w:t>
      </w:r>
      <w:r>
        <w:rPr>
          <w:rFonts w:hint="eastAsia" w:ascii="仿宋_GB2312" w:hAnsi="仿宋_GB2312" w:eastAsia="仿宋_GB2312" w:cs="仿宋_GB2312"/>
          <w:color w:val="000000"/>
          <w:kern w:val="0"/>
          <w:sz w:val="32"/>
          <w:szCs w:val="32"/>
        </w:rPr>
        <w:t>用于</w:t>
      </w:r>
      <w:r>
        <w:rPr>
          <w:rFonts w:hint="eastAsia" w:ascii="仿宋_GB2312" w:hAnsi="仿宋_GB2312" w:eastAsia="仿宋_GB2312" w:cs="仿宋_GB2312"/>
          <w:kern w:val="0"/>
          <w:sz w:val="32"/>
          <w:szCs w:val="32"/>
        </w:rPr>
        <w:t>项目的实施，确保了我市市级储备粮数量真实，质量良好，为政府对粮食流通市场宏观调控提供了客观依据和物质保障。</w:t>
      </w:r>
    </w:p>
    <w:p>
      <w:pPr>
        <w:widowControl/>
        <w:snapToGrid w:val="0"/>
        <w:spacing w:before="100" w:beforeAutospacing="1" w:after="100" w:afterAutospacing="1" w:line="578" w:lineRule="exact"/>
        <w:ind w:firstLine="640" w:firstLineChars="200"/>
        <w:jc w:val="left"/>
        <w:rPr>
          <w:rFonts w:ascii="仿宋_GB2312" w:hAnsi="仿宋_GB2312" w:eastAsia="仿宋_GB2312" w:cs="仿宋_GB2312"/>
          <w:bCs/>
          <w:spacing w:val="-8"/>
          <w:kern w:val="0"/>
          <w:sz w:val="32"/>
          <w:szCs w:val="32"/>
        </w:rPr>
      </w:pPr>
      <w:r>
        <w:rPr>
          <w:rFonts w:hint="eastAsia" w:ascii="仿宋_GB2312" w:hAnsi="宋体" w:eastAsia="仿宋_GB2312" w:cs="宋体"/>
          <w:color w:val="000000" w:themeColor="text1"/>
          <w:kern w:val="0"/>
          <w:sz w:val="32"/>
          <w:szCs w:val="32"/>
        </w:rPr>
        <w:t>储备粮贷款利息项目自评得分为100分。</w:t>
      </w:r>
      <w:r>
        <w:rPr>
          <w:rFonts w:hint="eastAsia" w:ascii="仿宋_GB2312" w:hAnsi="仿宋_GB2312" w:eastAsia="仿宋_GB2312" w:cs="仿宋_GB2312"/>
          <w:bCs/>
          <w:spacing w:val="-8"/>
          <w:kern w:val="0"/>
          <w:sz w:val="32"/>
          <w:szCs w:val="32"/>
        </w:rPr>
        <w:t>该项目的实施，确保国家粮食安全问题增强了政府对粮食市场的宏观调控能力，有利于维护我市粮食市场和社会的稳定，为我市建设宜居宜游宜业的热带滨海花园城市起到推动作用。</w:t>
      </w:r>
    </w:p>
    <w:p>
      <w:pPr>
        <w:widowControl/>
        <w:snapToGrid w:val="0"/>
        <w:spacing w:before="100" w:beforeAutospacing="1" w:after="100" w:afterAutospacing="1"/>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十二、其他重要事项情况说明。</w:t>
      </w:r>
    </w:p>
    <w:p>
      <w:pPr>
        <w:widowControl/>
        <w:snapToGrid w:val="0"/>
        <w:spacing w:before="100" w:beforeAutospacing="1" w:after="100" w:afterAutospacing="1"/>
        <w:ind w:firstLine="643" w:firstLineChars="200"/>
        <w:jc w:val="left"/>
        <w:rPr>
          <w:rFonts w:ascii="楷体" w:hAnsi="楷体" w:eastAsia="楷体" w:cs="楷体"/>
          <w:b/>
          <w:kern w:val="0"/>
          <w:sz w:val="32"/>
          <w:szCs w:val="32"/>
        </w:rPr>
      </w:pPr>
      <w:bookmarkStart w:id="97" w:name="_Toc18325_WPSOffice_Level2"/>
      <w:bookmarkStart w:id="98" w:name="_Toc5978_WPSOffice_Level2"/>
      <w:bookmarkStart w:id="99" w:name="_Toc23598_WPSOffice_Level2"/>
      <w:bookmarkStart w:id="100" w:name="_Toc15565_WPSOffice_Level2"/>
      <w:bookmarkStart w:id="101" w:name="_Toc32639_WPSOffice_Level2"/>
      <w:bookmarkStart w:id="102" w:name="_Toc15262_WPSOffice_Level2"/>
      <w:r>
        <w:rPr>
          <w:rFonts w:hint="eastAsia" w:ascii="楷体" w:hAnsi="楷体" w:eastAsia="楷体" w:cs="楷体"/>
          <w:b/>
          <w:kern w:val="0"/>
          <w:sz w:val="32"/>
          <w:szCs w:val="32"/>
        </w:rPr>
        <w:t>（一）机关运行经费支出情况。</w:t>
      </w:r>
      <w:bookmarkEnd w:id="97"/>
      <w:bookmarkEnd w:id="98"/>
      <w:bookmarkEnd w:id="99"/>
      <w:bookmarkEnd w:id="100"/>
      <w:bookmarkEnd w:id="101"/>
      <w:bookmarkEnd w:id="102"/>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color w:val="000000" w:themeColor="text1"/>
          <w:kern w:val="0"/>
          <w:sz w:val="32"/>
          <w:szCs w:val="32"/>
        </w:rPr>
        <w:t>2018年度东方市粮食局机关运行经费9.15万元（为部门决算中行政单位和参公事业单位使用一般公共预算财政拨款安排的基本支出中的日常公用经费支出），比2017年度增加5.37万元，增长142.06%。主要原因是：工作量增加，人员下乡开展扶贫工作增加。</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3" w:firstLineChars="200"/>
        <w:jc w:val="left"/>
        <w:textAlignment w:val="auto"/>
        <w:rPr>
          <w:rFonts w:ascii="楷体" w:hAnsi="楷体" w:eastAsia="楷体" w:cs="楷体"/>
          <w:b/>
          <w:kern w:val="0"/>
          <w:sz w:val="32"/>
          <w:szCs w:val="32"/>
        </w:rPr>
      </w:pPr>
      <w:bookmarkStart w:id="103" w:name="_Toc32689_WPSOffice_Level2"/>
      <w:bookmarkStart w:id="104" w:name="_Toc3131_WPSOffice_Level2"/>
      <w:bookmarkStart w:id="105" w:name="_Toc13084_WPSOffice_Level2"/>
      <w:bookmarkStart w:id="106" w:name="_Toc23966_WPSOffice_Level2"/>
      <w:bookmarkStart w:id="107" w:name="_Toc25333_WPSOffice_Level2"/>
      <w:bookmarkStart w:id="108" w:name="_Toc30383_WPSOffice_Level2"/>
      <w:r>
        <w:rPr>
          <w:rFonts w:hint="eastAsia" w:ascii="楷体" w:hAnsi="楷体" w:eastAsia="楷体" w:cs="楷体"/>
          <w:b/>
          <w:kern w:val="0"/>
          <w:sz w:val="32"/>
          <w:szCs w:val="32"/>
        </w:rPr>
        <w:t>（二）政府采购支出情况。</w:t>
      </w:r>
      <w:bookmarkEnd w:id="103"/>
      <w:bookmarkEnd w:id="104"/>
      <w:bookmarkEnd w:id="105"/>
      <w:bookmarkEnd w:id="106"/>
      <w:bookmarkEnd w:id="107"/>
      <w:bookmarkEnd w:id="108"/>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ascii="仿宋_GB2312" w:hAnsi="ˎ̥" w:eastAsia="仿宋_GB2312" w:cs="宋体"/>
          <w:color w:val="000000" w:themeColor="text1"/>
          <w:kern w:val="0"/>
          <w:sz w:val="32"/>
          <w:szCs w:val="32"/>
        </w:rPr>
      </w:pPr>
      <w:r>
        <w:rPr>
          <w:rFonts w:hint="eastAsia" w:ascii="仿宋_GB2312" w:hAnsi="ˎ̥" w:eastAsia="仿宋_GB2312" w:cs="宋体"/>
          <w:color w:val="000000" w:themeColor="text1"/>
          <w:kern w:val="0"/>
          <w:sz w:val="32"/>
          <w:szCs w:val="32"/>
        </w:rPr>
        <w:t>2018年度粮食局政府采购支出总额2.742万元，其中：政府采购货物支出2.742万元。占政府采购支出总额的100%。</w:t>
      </w:r>
    </w:p>
    <w:p>
      <w:pPr>
        <w:widowControl/>
        <w:snapToGrid w:val="0"/>
        <w:spacing w:before="100" w:beforeAutospacing="1" w:after="100" w:afterAutospacing="1"/>
        <w:ind w:firstLine="643" w:firstLineChars="200"/>
        <w:jc w:val="left"/>
        <w:rPr>
          <w:rFonts w:ascii="楷体" w:hAnsi="楷体" w:eastAsia="楷体" w:cs="楷体"/>
          <w:b/>
          <w:kern w:val="0"/>
          <w:sz w:val="32"/>
          <w:szCs w:val="32"/>
        </w:rPr>
      </w:pPr>
      <w:bookmarkStart w:id="109" w:name="_Toc15129_WPSOffice_Level2"/>
      <w:bookmarkStart w:id="110" w:name="_Toc29584_WPSOffice_Level2"/>
      <w:bookmarkStart w:id="111" w:name="_Toc527_WPSOffice_Level2"/>
      <w:bookmarkStart w:id="112" w:name="_Toc10902_WPSOffice_Level2"/>
      <w:bookmarkStart w:id="113" w:name="_Toc6016_WPSOffice_Level2"/>
      <w:bookmarkStart w:id="114" w:name="_Toc19989_WPSOffice_Level2"/>
      <w:r>
        <w:rPr>
          <w:rFonts w:hint="eastAsia" w:ascii="楷体" w:hAnsi="楷体" w:eastAsia="楷体" w:cs="楷体"/>
          <w:b/>
          <w:kern w:val="0"/>
          <w:sz w:val="32"/>
          <w:szCs w:val="32"/>
        </w:rPr>
        <w:t>（三）国有资产占用情况。</w:t>
      </w:r>
      <w:bookmarkEnd w:id="109"/>
      <w:bookmarkEnd w:id="110"/>
      <w:bookmarkEnd w:id="111"/>
      <w:bookmarkEnd w:id="112"/>
      <w:bookmarkEnd w:id="113"/>
      <w:bookmarkEnd w:id="114"/>
    </w:p>
    <w:p>
      <w:pPr>
        <w:widowControl/>
        <w:snapToGrid w:val="0"/>
        <w:spacing w:before="100" w:beforeAutospacing="1" w:after="100" w:afterAutospacing="1" w:line="578" w:lineRule="exact"/>
        <w:ind w:firstLine="640" w:firstLineChars="200"/>
        <w:jc w:val="left"/>
        <w:rPr>
          <w:rFonts w:ascii="仿宋_GB2312" w:hAnsi="ˎ̥" w:eastAsia="仿宋_GB2312" w:cs="宋体"/>
          <w:color w:val="000000" w:themeColor="text1"/>
          <w:kern w:val="0"/>
          <w:sz w:val="32"/>
          <w:szCs w:val="32"/>
        </w:rPr>
      </w:pPr>
      <w:r>
        <w:rPr>
          <w:rFonts w:hint="eastAsia" w:ascii="仿宋_GB2312" w:hAnsi="ˎ̥" w:eastAsia="仿宋_GB2312" w:cs="宋体"/>
          <w:color w:val="000000" w:themeColor="text1"/>
          <w:kern w:val="0"/>
          <w:sz w:val="32"/>
          <w:szCs w:val="32"/>
        </w:rPr>
        <w:t>截至2018年度12月31日，本部门共有车辆1辆，其中，一般公务用车1辆。单位价值50万元以上通用设备0台（套），单价100万元以上专用设备0台（套）。</w:t>
      </w:r>
    </w:p>
    <w:p>
      <w:pPr>
        <w:widowControl/>
        <w:snapToGrid w:val="0"/>
        <w:spacing w:line="578" w:lineRule="exact"/>
        <w:ind w:firstLine="640" w:firstLineChars="200"/>
        <w:jc w:val="left"/>
        <w:rPr>
          <w:rFonts w:ascii="仿宋_GB2312" w:hAnsi="ˎ̥" w:eastAsia="仿宋_GB2312" w:cs="宋体"/>
          <w:color w:val="000000" w:themeColor="text1"/>
          <w:kern w:val="0"/>
          <w:sz w:val="32"/>
          <w:szCs w:val="32"/>
        </w:rPr>
      </w:pPr>
      <w:r>
        <w:rPr>
          <w:rFonts w:hint="eastAsia" w:ascii="仿宋_GB2312" w:hAnsi="ˎ̥" w:eastAsia="仿宋_GB2312" w:cs="宋体"/>
          <w:color w:val="000000" w:themeColor="text1"/>
          <w:kern w:val="0"/>
          <w:sz w:val="32"/>
          <w:szCs w:val="32"/>
        </w:rPr>
        <w:t>本部门占用房屋面积5600平方米，其中：办公用房3600平方米，其他（不含构筑物）2000平方米。</w:t>
      </w:r>
    </w:p>
    <w:p>
      <w:pPr>
        <w:widowControl/>
        <w:snapToGrid w:val="0"/>
        <w:spacing w:before="100" w:beforeAutospacing="1" w:after="100" w:afterAutospacing="1"/>
        <w:jc w:val="center"/>
        <w:rPr>
          <w:rFonts w:ascii="黑体" w:hAnsi="ˎ̥" w:eastAsia="黑体" w:cs="宋体"/>
          <w:kern w:val="0"/>
          <w:sz w:val="32"/>
          <w:szCs w:val="32"/>
        </w:rPr>
      </w:pPr>
      <w:bookmarkStart w:id="115" w:name="_Toc4398_WPSOffice_Level1"/>
      <w:bookmarkStart w:id="116" w:name="_Toc17580_WPSOffice_Level1"/>
      <w:bookmarkStart w:id="117" w:name="_Toc15425_WPSOffice_Level1"/>
      <w:bookmarkStart w:id="118" w:name="_Toc11039_WPSOffice_Level1"/>
      <w:bookmarkStart w:id="119" w:name="_Toc8874_WPSOffice_Level1"/>
      <w:bookmarkStart w:id="120" w:name="_Toc8808_WPSOffice_Level1"/>
      <w:r>
        <w:rPr>
          <w:rFonts w:hint="eastAsia" w:ascii="黑体" w:hAnsi="ˎ̥" w:eastAsia="黑体" w:cs="宋体"/>
          <w:kern w:val="0"/>
          <w:sz w:val="32"/>
          <w:szCs w:val="32"/>
        </w:rPr>
        <w:t>第四部分  名词解释</w:t>
      </w:r>
      <w:bookmarkEnd w:id="115"/>
      <w:bookmarkEnd w:id="116"/>
      <w:bookmarkEnd w:id="117"/>
      <w:bookmarkEnd w:id="118"/>
      <w:bookmarkEnd w:id="119"/>
      <w:bookmarkEnd w:id="120"/>
    </w:p>
    <w:p>
      <w:pPr>
        <w:widowControl/>
        <w:snapToGrid w:val="0"/>
        <w:spacing w:before="100" w:beforeAutospacing="1" w:after="100" w:afterAutospacing="1"/>
        <w:jc w:val="center"/>
        <w:rPr>
          <w:rFonts w:ascii="黑体" w:hAnsi="ˎ̥" w:eastAsia="黑体" w:cs="宋体"/>
          <w:kern w:val="0"/>
          <w:sz w:val="32"/>
          <w:szCs w:val="32"/>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一、财政拨款收入：指本级财政当年拨付的资金。</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二、事业收入：指事业单位开展专业业务活动及辅助活动取得的收入。</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三、经营收入：指事业单位在专业业务活动及其辅助活动之外开展非独立核算经营活动取得的收入。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四、其他收入：指除上述“财政拨款收入”“事业收入”“经营收入”等以外的收入。</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六、年初结转和结余：指以前年度尚未完成、结转到本年按有关规定继续使用的资金。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七、结余分配：指事业单位按规定提取的职工福利基金、事业基金和缴纳的所得税，以及建设单位按规定应交回的基本建设竣工项目结余资金。</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八、年末结转和结余：指本年度或以前年度预算安排、因客观条件发生变化无法按原计划实施，需要延迟到以后年度按有关规定继续使用的资金。</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九、基本支出：指为保障机构正常运转、完成日常工作任务而发生的人员支出和公用支出。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十、项目支出：指在基本支出之外为完成特定行政任务和事业发展目标所发生的支出。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十一、经营支出：指事业单位在专业业务活动及其辅助活动之外开展非独立核算经营活动发生的支出。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十二、“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firstLine="640" w:firstLineChars="200"/>
        <w:jc w:val="lef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napToGrid w:val="0"/>
        <w:spacing w:before="100" w:beforeAutospacing="1" w:after="100" w:afterAutospacing="1"/>
        <w:jc w:val="left"/>
        <w:rPr>
          <w:rFonts w:ascii="仿宋_GB2312" w:hAnsi="ˎ̥" w:eastAsia="仿宋_GB2312" w:cs="宋体"/>
          <w:kern w:val="0"/>
          <w:sz w:val="32"/>
          <w:szCs w:val="32"/>
        </w:rPr>
      </w:pPr>
      <w:bookmarkStart w:id="121" w:name="_GoBack"/>
      <w:bookmarkEnd w:id="12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2174"/>
    <w:rsid w:val="00274FE6"/>
    <w:rsid w:val="00842174"/>
    <w:rsid w:val="00D93924"/>
    <w:rsid w:val="00F510F5"/>
    <w:rsid w:val="09B86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color w:val="000000"/>
      <w:kern w:val="0"/>
      <w:sz w:val="14"/>
      <w:szCs w:val="14"/>
    </w:rPr>
  </w:style>
  <w:style w:type="paragraph" w:styleId="5">
    <w:name w:val="List Paragraph"/>
    <w:basedOn w:val="1"/>
    <w:qFormat/>
    <w:uiPriority w:val="34"/>
    <w:pPr>
      <w:widowControl/>
      <w:ind w:firstLine="420" w:firstLineChars="200"/>
      <w:jc w:val="left"/>
    </w:pPr>
    <w:rPr>
      <w:rFonts w:ascii="宋体" w:hAnsi="宋体" w:eastAsia="宋体" w:cs="宋体"/>
      <w:kern w:val="0"/>
      <w:sz w:val="24"/>
      <w:szCs w:val="24"/>
    </w:rPr>
  </w:style>
  <w:style w:type="paragraph" w:customStyle="1" w:styleId="6">
    <w:name w:val="wpsoffice1"/>
    <w:basedOn w:val="1"/>
    <w:semiHidden/>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wpsoffice2"/>
    <w:basedOn w:val="1"/>
    <w:semiHidden/>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1030</Words>
  <Characters>5873</Characters>
  <Lines>48</Lines>
  <Paragraphs>13</Paragraphs>
  <TotalTime>10</TotalTime>
  <ScaleCrop>false</ScaleCrop>
  <LinksUpToDate>false</LinksUpToDate>
  <CharactersWithSpaces>6890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2019-10-10T09:26:00Z</dcterms:created>
  <dc:creator>dreamsummit</dc:creator>
  <cp:lastModifiedBy>fww820</cp:lastModifiedBy>
  <dcterms:modified xsi:type="dcterms:W3CDTF">2019-11-07T08:40:56Z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