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东方市大田镇202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uto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80" w:lineRule="auto"/>
        <w:ind w:left="0" w:right="0" w:firstLine="42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kern w:val="2"/>
          <w:sz w:val="24"/>
          <w:szCs w:val="24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2"/>
          <w:sz w:val="24"/>
          <w:szCs w:val="24"/>
          <w:vertAlign w:val="baseline"/>
          <w:lang w:val="en-US" w:eastAsia="zh-CN" w:bidi="ar-SA"/>
        </w:rPr>
        <w:t>2021年，我镇高度重视政府信息公开工作，严格按照《中华人民共和国政府信息公开条例》要求及省市有关决策部署，进一步加强组织领导，夯实工作基础，突出重点领域、规范公开程序，及时公开工作信息。一年来，我镇政府信息公开工作运行正常，取得了较好的成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80" w:lineRule="auto"/>
        <w:ind w:left="0" w:right="0" w:firstLine="42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2"/>
          <w:sz w:val="24"/>
          <w:szCs w:val="24"/>
          <w:vertAlign w:val="baseline"/>
          <w:lang w:val="en-US" w:eastAsia="zh-CN" w:bidi="ar-SA"/>
        </w:rPr>
        <w:t>（一）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主动公开方面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年，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en-US" w:eastAsia="zh-CN"/>
        </w:rPr>
        <w:t>我镇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通过市政府门户网站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eastAsia="zh-CN"/>
        </w:rPr>
        <w:t>大田镇信息公开专栏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以及微信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eastAsia="zh-CN"/>
        </w:rPr>
        <w:t>平台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发布信息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vertAlign w:val="baseline"/>
          <w14:textFill>
            <w14:solidFill>
              <w14:schemeClr w14:val="tx1"/>
            </w14:solidFill>
          </w14:textFill>
        </w:rPr>
        <w:t>数量共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338条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，其中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大田镇信息公开专栏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更新数量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共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66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条，微信公众号更新数量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272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基本做到常规性工作定期公开，临时性工作随时公开，固定性工作持续公开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vertAlign w:val="baseline"/>
          <w14:textFill>
            <w14:solidFill>
              <w14:schemeClr w14:val="tx1"/>
            </w14:solidFill>
          </w14:textFill>
        </w:rPr>
        <w:t>切实保障公众知情权、参与权、表达权和监督权。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80" w:lineRule="auto"/>
        <w:ind w:left="0" w:right="0" w:firstLine="42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eastAsia="zh-CN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（二）依申请公开方面。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年，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eastAsia="zh-CN"/>
        </w:rPr>
        <w:t>未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收到公民、法人和其他组织在线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en-US" w:eastAsia="zh-CN"/>
        </w:rPr>
        <w:t>和纸质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依申请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en-US" w:eastAsia="zh-CN"/>
        </w:rPr>
        <w:t>公开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80" w:lineRule="auto"/>
        <w:ind w:left="0" w:right="0" w:firstLine="42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eastAsia="zh-CN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（三）政府信息管理方面。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eastAsia="zh-CN"/>
        </w:rPr>
        <w:t>2021年我镇切实加强政府信息管理工作，规范镇政府门户内容，并结合工作实际，及时、全面、准确地主动公开各类政府信息，增强信息发布的主动性、权威性和时效性。坚持依法行政，深化信息公开，不断增强工作透明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80" w:lineRule="auto"/>
        <w:ind w:left="0" w:right="0" w:firstLine="42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eastAsia="zh-CN"/>
        </w:rPr>
        <w:t>（四）政府信息公开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平台建设方面。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一是切实加强政府网站建设管理。加强日常内容更新和运营维护，不断提升信息公开质量和网站服务水平。二是有序推进政务新媒体发展。安排专人负责运营微信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eastAsia="zh-CN"/>
        </w:rPr>
        <w:t>公众号“大田宣传”，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及时发布公众关注信息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eastAsia="zh-CN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en-US" w:eastAsia="zh-CN"/>
        </w:rPr>
        <w:t>三是完善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镇、村两级政务公开栏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eastAsia="zh-CN"/>
        </w:rPr>
        <w:t>建设。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基本构建起全镇政务公开网络，确保公众第一时间获悉我镇最新动态。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80" w:lineRule="auto"/>
        <w:ind w:left="0" w:right="0" w:firstLine="420"/>
        <w:jc w:val="left"/>
        <w:textAlignment w:val="baseline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（五）监督保障方面。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eastAsia="zh-CN"/>
        </w:rPr>
        <w:t>加强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监督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，对违反政务公开的行为严肃处理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促进网站和政务新媒体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eastAsia="zh-CN"/>
        </w:rPr>
        <w:t>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良性发展。2021年度未发生信息公开行政诉讼或行政复议事件。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uto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uto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uto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uto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uto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uto"/>
        <w:ind w:left="0" w:right="0" w:firstLine="420"/>
        <w:jc w:val="both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2021年，我镇政府信息公开工作在上级有关部门的领导下取得了一些成效，</w:t>
      </w: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但仍然存在一些问题：一是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因人事变动缘故政府信息公开工作人员不稳定。二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是公开信息质量还需进一步提高。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三是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对政务公开的宣传不够到位，作用发挥不够明显。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uto"/>
        <w:ind w:left="0" w:right="0" w:firstLine="420"/>
        <w:jc w:val="both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针对上述问题，我镇已及时采取相关改进措施：一要加强业务知识培训。提高工作人员业务水平，严格按照要求，及时更新上传信息，不断提升政府信息公开标准化、规范化、信息化水平。二要继续完善主动公开政务信息工作机制。切实按照规定主动公开社会关注度高的信息，及时更新公开内容，提高主动公开政府信息的数量和质量。三要加强宣传和普及力度。依托网络环境，进一步提高政府网站使用率、发挥电子政务的效率，为社会和公众提供高效优质服务，同时，进一步整合报刊、广播、电视等传统媒体，提高政府信息公开覆盖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uto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无其他需要报告事项。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06028"/>
    <w:rsid w:val="001557B8"/>
    <w:rsid w:val="0145157F"/>
    <w:rsid w:val="0D794CB6"/>
    <w:rsid w:val="12AC3099"/>
    <w:rsid w:val="207E180C"/>
    <w:rsid w:val="363F385C"/>
    <w:rsid w:val="39D0561F"/>
    <w:rsid w:val="3A9466A8"/>
    <w:rsid w:val="3AB41CF7"/>
    <w:rsid w:val="3ED62D33"/>
    <w:rsid w:val="5110611C"/>
    <w:rsid w:val="5467026D"/>
    <w:rsid w:val="57606028"/>
    <w:rsid w:val="57876307"/>
    <w:rsid w:val="5D940B1F"/>
    <w:rsid w:val="77466FE5"/>
    <w:rsid w:val="77A6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2022-01-05T02:38:00Z</dcterms:created>
  <dc:creator>dangzhengban1</dc:creator>
  <cp:lastModifiedBy>dangzhengban1</cp:lastModifiedBy>
  <dcterms:modified xsi:type="dcterms:W3CDTF">2022-01-25T01:28:56Z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95B17905862C4C4CB1FAE524EA5A5088</vt:lpwstr>
  </property>
</Properties>
</file>