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村级组织服务群众专项经费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东方市感城镇人民政府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东方市感城镇人民政府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日至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31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  <w:r>
        <w:rPr>
          <w:rFonts w:hint="eastAsia" w:ascii="宋体" w:hAnsi="宋体"/>
          <w:sz w:val="28"/>
          <w:szCs w:val="28"/>
          <w:lang w:eastAsia="zh-CN"/>
        </w:rPr>
        <w:t>东方市感城镇人民政府</w:t>
      </w:r>
    </w:p>
    <w:p>
      <w:pPr>
        <w:ind w:firstLine="700" w:firstLineChars="250"/>
        <w:rPr>
          <w:rFonts w:ascii="黑体" w:eastAsia="黑体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  <w:r>
        <w:rPr>
          <w:rFonts w:hint="eastAsia" w:ascii="宋体" w:hAnsi="宋体"/>
          <w:sz w:val="28"/>
          <w:szCs w:val="28"/>
          <w:lang w:val="en-US" w:eastAsia="zh-CN"/>
        </w:rPr>
        <w:t>2020年5月24日</w:t>
      </w: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822"/>
        <w:gridCol w:w="85"/>
        <w:gridCol w:w="261"/>
        <w:gridCol w:w="629"/>
        <w:gridCol w:w="145"/>
        <w:gridCol w:w="793"/>
        <w:gridCol w:w="984"/>
        <w:gridCol w:w="217"/>
        <w:gridCol w:w="241"/>
        <w:gridCol w:w="389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2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  <w:tc>
          <w:tcPr>
            <w:tcW w:w="30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秦人英</w:t>
            </w:r>
          </w:p>
        </w:tc>
        <w:tc>
          <w:tcPr>
            <w:tcW w:w="30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25829558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450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450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5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6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7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8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赵晓晖</w:t>
            </w:r>
          </w:p>
        </w:tc>
        <w:tc>
          <w:tcPr>
            <w:tcW w:w="2104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3114" w:type="dxa"/>
            <w:gridSpan w:val="7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谢善芳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杨颖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480" w:lineRule="exact"/>
        <w:ind w:firstLine="640" w:firstLineChars="200"/>
        <w:jc w:val="center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（一）项目单位基本情况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感城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人民政府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主要职责主要承担镇党委、政府日常事务，乡镇经济建设、农业发展规划与技术推广、农田水利建设与基本农田保护、第三产业发展规划、环境与自然资源保护、公有资产管理、农村集体土地管理、投资发展环境的经营等指导工作，承担科教文卫事务，农村新型合作医疗、民政优抚、民族宗教、农村低保、劳动和社会保障等事务管理和监督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项目绩效目标、绩效指标设定或调整情况，包括预期总目标及阶段性目标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感城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作为主管部门，17个村（居）委会作为本项目实施单位，镇政府按照标准足额拨付，实行“一村（居）一费”，各村（居）年初制定该项经费的项目使用计划，并上报乡镇政府备案，镇政府负责跟踪、监管项目开展和资金使用情况，进一步提高农村基础设施的建设。</w:t>
      </w:r>
    </w:p>
    <w:p>
      <w:pPr>
        <w:numPr>
          <w:ilvl w:val="0"/>
          <w:numId w:val="1"/>
        </w:num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项目基本性质、用途和主要内容、涉及范围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项目主要用于环境整治、道路、路灯、水利等公益性项目和群众急需解决的各类事项，涉及17个村（居）建设范围。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二、项目资金使用及管理情况</w:t>
      </w:r>
    </w:p>
    <w:p>
      <w:pPr>
        <w:spacing w:line="57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（一）项目资金到位情况分析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该项目计划投资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450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万元，实际到位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450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万元，到位率100%。</w:t>
      </w:r>
    </w:p>
    <w:p>
      <w:pPr>
        <w:numPr>
          <w:ilvl w:val="0"/>
          <w:numId w:val="2"/>
        </w:numPr>
        <w:spacing w:line="57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项目资金使用情况分析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截止2019年12月已支出全部，支出率达到100%。</w:t>
      </w:r>
    </w:p>
    <w:p>
      <w:pPr>
        <w:numPr>
          <w:ilvl w:val="0"/>
          <w:numId w:val="2"/>
        </w:num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项目资金管理情况分析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该经费年初经核实拨付到村（居），各村（居）年初制定该项经费的项目使用计划。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项目资金主要用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环境整治、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道路、路灯、水利等公益性项目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（一）项目组织情况分析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农村基础设施建设的规范化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，我镇建立了“分组实施，统筹指导”的细致化管理模式。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对每项涉及该类经费的项目采取村委会实施，镇政府跟踪、监管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3"/>
        </w:num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项目管理情况分析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该项目属于经常性项目，根据实际工作需要，有针对性安排项目支出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四、项目绩效情况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（一）项目绩效目标完成情况分析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（1）项目成本（预算）控制情况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按年度拨付各村（居），严格要求各（居）年初制定该项经费的项目使用计划，镇政府进一步分析可行性，制定可行性报告。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项目成本（预算）节约情况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按年度拨付各村（居），实行“一村（居）一费”制度，年初制定该经费的使用计划，并对实施项目进行评价。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（1）项目的实施进度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项目按照工作的实际要求及时开展，完成年度项目资金安排的预算投资额。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项目完成质量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按该项经费进行项目开展前进行预算，确保年度完成任务，验收合格。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项目的效益性分析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（1）项目预期目标完成程度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　项目预期目标完成程度良好。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项目实施对经济和社会的影响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该经费用于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环境整治、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道路、路灯、水利等公益性项目，大大改善了村（居）民的生活质量，提高城市的美化、量化，为建设美好新海南奠定了基础。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完成后，从初期效果来看，经济效益和社会效益显著，政府部门将继续通过多渠道筹集资金，确保该项目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持续发展。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综合评价情况及评价结论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该项目绩效评价总评得分为9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分，综合评价等级为优（详见评分表）。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主要经验及做法、存在的问题和建议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该经费实行“一村（居）一费”，个别村庄年度可支配额度较少，美化、量化程度不能彻底解决，导致运行项目要分年度建设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pict>
          <v:line id="_x0000_s1031" o:spid="_x0000_s1031" o:spt="20" style="position:absolute;left:0pt;margin-left:207pt;margin-top:253.5pt;height:0.05pt;width:0.05pt;z-index:2516592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项目名称：</w:t>
      </w:r>
    </w:p>
    <w:tbl>
      <w:tblPr>
        <w:tblStyle w:val="5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806"/>
        <w:gridCol w:w="1260"/>
        <w:gridCol w:w="1083"/>
        <w:gridCol w:w="1215"/>
        <w:gridCol w:w="124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4684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86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12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124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46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服务行政村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力争16个行政村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16个村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14个-15个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12个-13个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12个以下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开展服务工作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力争开展服务工作15个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14个及以上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12个-13个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10个-11个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10个以下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成效指标</w:t>
            </w: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群众满意度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力争达到100%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95%以上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90%-95%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85%-89%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受益人口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力争受益人口达到4.9万人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4.5万人以上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4万人-4.5万人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3.5万人-3.9万人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3.5万人以下</w:t>
            </w:r>
          </w:p>
        </w:tc>
      </w:tr>
    </w:tbl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rFonts w:ascii="Times New Roman" w:hAnsi="Times New Roman" w:eastAsia="宋体" w:cs="Times New Roman"/>
          <w:b/>
          <w:color w:val="000000"/>
          <w:kern w:val="50"/>
          <w:sz w:val="32"/>
          <w:szCs w:val="32"/>
          <w:lang w:val="en-US" w:eastAsia="zh-CN" w:bidi="ar-SA"/>
        </w:rPr>
        <w:pict>
          <v:line id="Line 7" o:spid="_x0000_s1032" o:spt="20" style="position:absolute;left:0pt;margin-left:207pt;margin-top:253.5pt;height:0.05pt;width:0.05pt;z-index:25165824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Style w:val="8"/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Style w:val="8"/>
                    <w:rFonts w:ascii="仿宋_GB2312" w:hAnsi="仿宋_GB2312" w:eastAsia="仿宋_GB2312" w:cs="仿宋_GB2312"/>
                    <w:sz w:val="24"/>
                    <w:szCs w:val="24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9485"/>
    <w:multiLevelType w:val="singleLevel"/>
    <w:tmpl w:val="59F29485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5D6F6B67"/>
    <w:multiLevelType w:val="singleLevel"/>
    <w:tmpl w:val="5D6F6B67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D6F6BD6"/>
    <w:multiLevelType w:val="singleLevel"/>
    <w:tmpl w:val="5D6F6BD6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D6F6C2F"/>
    <w:multiLevelType w:val="singleLevel"/>
    <w:tmpl w:val="5D6F6C2F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D6FE2"/>
    <w:rsid w:val="00857ADA"/>
    <w:rsid w:val="00857C10"/>
    <w:rsid w:val="00A32CBC"/>
    <w:rsid w:val="00A55291"/>
    <w:rsid w:val="00AB17A5"/>
    <w:rsid w:val="00AD5140"/>
    <w:rsid w:val="00AF45FC"/>
    <w:rsid w:val="00B633B9"/>
    <w:rsid w:val="00BB72DF"/>
    <w:rsid w:val="00C213B0"/>
    <w:rsid w:val="00C93E11"/>
    <w:rsid w:val="00D0026E"/>
    <w:rsid w:val="00DE5FAB"/>
    <w:rsid w:val="00E435EE"/>
    <w:rsid w:val="00F12293"/>
    <w:rsid w:val="014364A0"/>
    <w:rsid w:val="01704002"/>
    <w:rsid w:val="03163E1D"/>
    <w:rsid w:val="03736BC9"/>
    <w:rsid w:val="03A73DA3"/>
    <w:rsid w:val="03D9195C"/>
    <w:rsid w:val="04506414"/>
    <w:rsid w:val="047C49E9"/>
    <w:rsid w:val="051E41F2"/>
    <w:rsid w:val="06A25323"/>
    <w:rsid w:val="06A52D74"/>
    <w:rsid w:val="07203E73"/>
    <w:rsid w:val="073133B7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CF93AD9"/>
    <w:rsid w:val="0D22141A"/>
    <w:rsid w:val="0D33297A"/>
    <w:rsid w:val="0D8E049A"/>
    <w:rsid w:val="0D8F61CA"/>
    <w:rsid w:val="0E1B4EB5"/>
    <w:rsid w:val="0FB748D6"/>
    <w:rsid w:val="0FF90BC3"/>
    <w:rsid w:val="112934B3"/>
    <w:rsid w:val="115E178F"/>
    <w:rsid w:val="116B779F"/>
    <w:rsid w:val="12383670"/>
    <w:rsid w:val="13C90583"/>
    <w:rsid w:val="1457366A"/>
    <w:rsid w:val="148C1946"/>
    <w:rsid w:val="15460D75"/>
    <w:rsid w:val="15760012"/>
    <w:rsid w:val="15947252"/>
    <w:rsid w:val="16011F94"/>
    <w:rsid w:val="16A135AF"/>
    <w:rsid w:val="1746570F"/>
    <w:rsid w:val="17FC2567"/>
    <w:rsid w:val="181D051D"/>
    <w:rsid w:val="18773675"/>
    <w:rsid w:val="18947263"/>
    <w:rsid w:val="18DB6331"/>
    <w:rsid w:val="190A6EA1"/>
    <w:rsid w:val="194C6A11"/>
    <w:rsid w:val="19574DA2"/>
    <w:rsid w:val="196400F3"/>
    <w:rsid w:val="19AD1F2E"/>
    <w:rsid w:val="1A1B2562"/>
    <w:rsid w:val="1A9E72B8"/>
    <w:rsid w:val="1B822DAD"/>
    <w:rsid w:val="1CE66FA5"/>
    <w:rsid w:val="1D3E4388"/>
    <w:rsid w:val="1E3E06F4"/>
    <w:rsid w:val="1E5754EE"/>
    <w:rsid w:val="1F477FE0"/>
    <w:rsid w:val="200A5B20"/>
    <w:rsid w:val="20163B31"/>
    <w:rsid w:val="201A1A64"/>
    <w:rsid w:val="215B63C6"/>
    <w:rsid w:val="225F01F3"/>
    <w:rsid w:val="225F6A69"/>
    <w:rsid w:val="22750198"/>
    <w:rsid w:val="23143FD2"/>
    <w:rsid w:val="23B0469D"/>
    <w:rsid w:val="241C17CD"/>
    <w:rsid w:val="24F06D8E"/>
    <w:rsid w:val="24F536AF"/>
    <w:rsid w:val="25BF76EF"/>
    <w:rsid w:val="25CF0E14"/>
    <w:rsid w:val="25EF714A"/>
    <w:rsid w:val="261F6C21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1E4B04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534DD6"/>
    <w:rsid w:val="30EB624E"/>
    <w:rsid w:val="323A40DD"/>
    <w:rsid w:val="32410D7E"/>
    <w:rsid w:val="338B331E"/>
    <w:rsid w:val="33CD760B"/>
    <w:rsid w:val="342E2B27"/>
    <w:rsid w:val="34650A83"/>
    <w:rsid w:val="34857F3F"/>
    <w:rsid w:val="34C67823"/>
    <w:rsid w:val="34E359E7"/>
    <w:rsid w:val="34F23B6A"/>
    <w:rsid w:val="355D2922"/>
    <w:rsid w:val="355E0C9B"/>
    <w:rsid w:val="357E6FD1"/>
    <w:rsid w:val="359E5308"/>
    <w:rsid w:val="35AA3319"/>
    <w:rsid w:val="36153C3A"/>
    <w:rsid w:val="36C33766"/>
    <w:rsid w:val="36E14E62"/>
    <w:rsid w:val="36F05BAE"/>
    <w:rsid w:val="371B2276"/>
    <w:rsid w:val="38145D11"/>
    <w:rsid w:val="38764AB1"/>
    <w:rsid w:val="38E519BE"/>
    <w:rsid w:val="398648EE"/>
    <w:rsid w:val="39A62C24"/>
    <w:rsid w:val="3BA548E8"/>
    <w:rsid w:val="3BF072E6"/>
    <w:rsid w:val="3BF52745"/>
    <w:rsid w:val="3C762008"/>
    <w:rsid w:val="3D0B54B4"/>
    <w:rsid w:val="3D153845"/>
    <w:rsid w:val="3D98059B"/>
    <w:rsid w:val="3DB8304E"/>
    <w:rsid w:val="3E7C4091"/>
    <w:rsid w:val="3E872422"/>
    <w:rsid w:val="3E9207B3"/>
    <w:rsid w:val="3EAF37A3"/>
    <w:rsid w:val="3ED24E20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9626DF3"/>
    <w:rsid w:val="4A660C1F"/>
    <w:rsid w:val="4AF44EDF"/>
    <w:rsid w:val="4B1E03CD"/>
    <w:rsid w:val="4B7F716D"/>
    <w:rsid w:val="4C020640"/>
    <w:rsid w:val="4C023EC3"/>
    <w:rsid w:val="4C21617C"/>
    <w:rsid w:val="4C906FAA"/>
    <w:rsid w:val="4CE64136"/>
    <w:rsid w:val="4D7E293A"/>
    <w:rsid w:val="4E6D2CB8"/>
    <w:rsid w:val="4E704CAF"/>
    <w:rsid w:val="4EB95335"/>
    <w:rsid w:val="4ED97DE9"/>
    <w:rsid w:val="4EF9611F"/>
    <w:rsid w:val="4F267EE8"/>
    <w:rsid w:val="4F376FA7"/>
    <w:rsid w:val="4F5167AE"/>
    <w:rsid w:val="50804CA1"/>
    <w:rsid w:val="524E6196"/>
    <w:rsid w:val="528043E7"/>
    <w:rsid w:val="52BF2FD2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33477F"/>
    <w:rsid w:val="58425BDC"/>
    <w:rsid w:val="593E3D70"/>
    <w:rsid w:val="595C5ED8"/>
    <w:rsid w:val="5AA33DF1"/>
    <w:rsid w:val="5AD90D18"/>
    <w:rsid w:val="5BE84759"/>
    <w:rsid w:val="5C1F35AE"/>
    <w:rsid w:val="5C54188A"/>
    <w:rsid w:val="5C864257"/>
    <w:rsid w:val="5DFB3153"/>
    <w:rsid w:val="5E190590"/>
    <w:rsid w:val="5E277206"/>
    <w:rsid w:val="5E731884"/>
    <w:rsid w:val="5F164911"/>
    <w:rsid w:val="5F192012"/>
    <w:rsid w:val="5F995DE3"/>
    <w:rsid w:val="6017488E"/>
    <w:rsid w:val="60510E15"/>
    <w:rsid w:val="60C721C8"/>
    <w:rsid w:val="616B7363"/>
    <w:rsid w:val="61AC7DCD"/>
    <w:rsid w:val="62441245"/>
    <w:rsid w:val="62C008FD"/>
    <w:rsid w:val="62E564B7"/>
    <w:rsid w:val="634D6955"/>
    <w:rsid w:val="63537A0E"/>
    <w:rsid w:val="6463123F"/>
    <w:rsid w:val="64A358AC"/>
    <w:rsid w:val="64FC5F3B"/>
    <w:rsid w:val="655A2888"/>
    <w:rsid w:val="65B61139"/>
    <w:rsid w:val="66041A18"/>
    <w:rsid w:val="674525FC"/>
    <w:rsid w:val="686B6B5C"/>
    <w:rsid w:val="68FE429C"/>
    <w:rsid w:val="690F60BD"/>
    <w:rsid w:val="691702F9"/>
    <w:rsid w:val="697A6D19"/>
    <w:rsid w:val="698450AA"/>
    <w:rsid w:val="69B00B56"/>
    <w:rsid w:val="69FB3DEF"/>
    <w:rsid w:val="6A680BA0"/>
    <w:rsid w:val="6A9E6E7B"/>
    <w:rsid w:val="6AB14C08"/>
    <w:rsid w:val="6ADF78E5"/>
    <w:rsid w:val="6BC333DB"/>
    <w:rsid w:val="6C7C2B89"/>
    <w:rsid w:val="6D0439B1"/>
    <w:rsid w:val="6DC1541F"/>
    <w:rsid w:val="6DED1766"/>
    <w:rsid w:val="6DF90C96"/>
    <w:rsid w:val="6E2F5A53"/>
    <w:rsid w:val="6F071C0A"/>
    <w:rsid w:val="6F7F6679"/>
    <w:rsid w:val="6F94661F"/>
    <w:rsid w:val="700C1760"/>
    <w:rsid w:val="702C7A97"/>
    <w:rsid w:val="70593DDE"/>
    <w:rsid w:val="70DA0EB4"/>
    <w:rsid w:val="73BC69EE"/>
    <w:rsid w:val="73DC4D25"/>
    <w:rsid w:val="73E82D35"/>
    <w:rsid w:val="73FD5F5A"/>
    <w:rsid w:val="74335733"/>
    <w:rsid w:val="745F1A7B"/>
    <w:rsid w:val="757A26DA"/>
    <w:rsid w:val="757A7C49"/>
    <w:rsid w:val="75C42647"/>
    <w:rsid w:val="765E373E"/>
    <w:rsid w:val="76DF57A9"/>
    <w:rsid w:val="772B760F"/>
    <w:rsid w:val="77C4430A"/>
    <w:rsid w:val="78715728"/>
    <w:rsid w:val="791E32C2"/>
    <w:rsid w:val="79A10018"/>
    <w:rsid w:val="79D762F4"/>
    <w:rsid w:val="7A5A304A"/>
    <w:rsid w:val="7ABB1DEA"/>
    <w:rsid w:val="7C7F110C"/>
    <w:rsid w:val="7C99137B"/>
    <w:rsid w:val="7E0B33D4"/>
    <w:rsid w:val="7E813419"/>
    <w:rsid w:val="7F0204F0"/>
    <w:rsid w:val="7F6B740A"/>
    <w:rsid w:val="7F705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unhideWhenUsed/>
    <w:uiPriority w:val="1"/>
    <w:rPr>
      <w:rFonts w:ascii="仿宋_GB2312" w:hAnsi="新宋体" w:eastAsia="仿宋_GB2312"/>
      <w:sz w:val="32"/>
      <w:szCs w:val="24"/>
    </w:rPr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正文1 Char Char Char"/>
    <w:basedOn w:val="1"/>
    <w:link w:val="6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Administrator</cp:lastModifiedBy>
  <cp:lastPrinted>2015-11-27T09:11:00Z</cp:lastPrinted>
  <dcterms:modified xsi:type="dcterms:W3CDTF">2020-09-04T02:53:04Z</dcterms:modified>
  <dc:title>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