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sym w:font="Wingdings 2" w:char="0052"/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公办幼儿园保育费安排的支出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西南大学东方实验幼儿园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东方市教育局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/>
          <w:sz w:val="28"/>
          <w:szCs w:val="28"/>
          <w:u w:val="single"/>
        </w:rPr>
        <w:t xml:space="preserve">年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01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01</w:t>
      </w:r>
      <w:r>
        <w:rPr>
          <w:rFonts w:hint="eastAsia" w:ascii="宋体" w:hAnsi="宋体"/>
          <w:sz w:val="28"/>
          <w:szCs w:val="28"/>
          <w:u w:val="single"/>
        </w:rPr>
        <w:t xml:space="preserve">日至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20223</w:t>
      </w:r>
      <w:r>
        <w:rPr>
          <w:rFonts w:hint="eastAsia" w:ascii="宋体" w:hAnsi="宋体"/>
          <w:sz w:val="28"/>
          <w:szCs w:val="28"/>
          <w:u w:val="single"/>
        </w:rPr>
        <w:t xml:space="preserve"> 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  <w:r>
        <w:rPr>
          <w:rFonts w:hint="eastAsia" w:ascii="宋体" w:hAnsi="宋体"/>
          <w:sz w:val="28"/>
          <w:szCs w:val="28"/>
          <w:lang w:val="en-US" w:eastAsia="zh-CN"/>
        </w:rPr>
        <w:t>2024年1月16日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3"/>
        <w:gridCol w:w="867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西南大学东方实验幼儿园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东方市教育局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吴碧霞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13976838585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海南省东方市琼西路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经常性项目（ 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       一次性项目（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135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113.4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135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113.4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宋玲玲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园长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西南大学东方实验幼儿园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吴娴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副园长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西南大学东方实验幼儿园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陈倩雯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办公室主任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西南大学东方实验幼儿园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曾海燕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后勤主任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西南大学东方实验幼儿园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48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西南大学东方实验幼儿园是执行学前教育的幼儿园。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完成全年劳务派遣</w:t>
      </w:r>
      <w:r>
        <w:rPr>
          <w:rFonts w:ascii="仿宋_GB2312" w:hAnsi="宋体" w:eastAsia="仿宋_GB2312" w:cs="仿宋_GB2312"/>
          <w:sz w:val="31"/>
          <w:szCs w:val="31"/>
        </w:rPr>
        <w:t>劳务派遣工资、维修维护、班级环创材料、水电费、专用材料等工作的资金需求，促进5项（及以上）工作完成，提高资金使用效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项目基本性质、用途和主要内容、涉及范围。</w:t>
      </w:r>
    </w:p>
    <w:p>
      <w:pPr>
        <w:numPr>
          <w:ilvl w:val="0"/>
          <w:numId w:val="0"/>
        </w:numPr>
        <w:spacing w:line="570" w:lineRule="exact"/>
        <w:ind w:leftChars="200"/>
        <w:outlineLvl w:val="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该项目是经常性费用项目，主要用于</w:t>
      </w:r>
      <w:r>
        <w:rPr>
          <w:rFonts w:ascii="仿宋_GB2312" w:hAnsi="宋体" w:eastAsia="仿宋_GB2312" w:cs="仿宋_GB2312"/>
          <w:sz w:val="31"/>
          <w:szCs w:val="31"/>
        </w:rPr>
        <w:t>劳务派遣工资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、</w:t>
      </w:r>
      <w:r>
        <w:rPr>
          <w:rFonts w:ascii="仿宋_GB2312" w:hAnsi="宋体" w:eastAsia="仿宋_GB2312" w:cs="仿宋_GB2312"/>
          <w:sz w:val="31"/>
          <w:szCs w:val="31"/>
        </w:rPr>
        <w:t>维修维护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、</w:t>
      </w:r>
      <w:r>
        <w:rPr>
          <w:rFonts w:ascii="仿宋_GB2312" w:hAnsi="宋体" w:eastAsia="仿宋_GB2312" w:cs="仿宋_GB2312"/>
          <w:sz w:val="31"/>
          <w:szCs w:val="31"/>
        </w:rPr>
        <w:t>水电费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（包括各级预算安排资金、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年初预算项目公办幼儿园保育费安排的支出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，该资金到达我园的账户时间为2023年2月。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（主要是指预算资金和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截止2023年12月31日，该预算资金支出99.71万元，支出率高达73.86%。</w:t>
      </w:r>
    </w:p>
    <w:p>
      <w:pPr>
        <w:numPr>
          <w:ilvl w:val="0"/>
          <w:numId w:val="2"/>
        </w:numPr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（包括管理制度、办法的制订及执行情况）。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该项目支出严格按照经济分类来进行支付资金。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numPr>
          <w:ilvl w:val="0"/>
          <w:numId w:val="0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3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项目管理情况分析（包括项目管理制度建设、日常检查监督管理等情况）。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无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该预算项目安排资金支付99.71万元，支出率高达73.86%，未超出项目成本控制。</w:t>
      </w:r>
    </w:p>
    <w:p>
      <w:pPr>
        <w:numPr>
          <w:ilvl w:val="0"/>
          <w:numId w:val="4"/>
        </w:numPr>
        <w:spacing w:line="570" w:lineRule="exact"/>
        <w:ind w:left="20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该预算安排资金支付99.71万元，支出率高达73.86%，未超出项目成本控制。</w:t>
      </w:r>
    </w:p>
    <w:p>
      <w:pPr>
        <w:numPr>
          <w:ilvl w:val="0"/>
          <w:numId w:val="0"/>
        </w:numPr>
        <w:spacing w:line="57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</w:p>
    <w:p>
      <w:pPr>
        <w:spacing w:line="570" w:lineRule="exact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pacing w:line="570" w:lineRule="exact"/>
        <w:ind w:left="8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numPr>
          <w:ilvl w:val="0"/>
          <w:numId w:val="0"/>
        </w:numPr>
        <w:spacing w:line="570" w:lineRule="exact"/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无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（2）项目实施对经济和社会的影响。</w:t>
      </w:r>
    </w:p>
    <w:p>
      <w:pPr>
        <w:tabs>
          <w:tab w:val="left" w:pos="503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无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numPr>
          <w:ilvl w:val="0"/>
          <w:numId w:val="3"/>
        </w:numPr>
        <w:tabs>
          <w:tab w:val="left" w:pos="878"/>
        </w:tabs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ind w:firstLine="1280" w:firstLineChars="400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安排资金支付进度缓慢。</w:t>
      </w:r>
    </w:p>
    <w:p>
      <w:pPr>
        <w:spacing w:line="570" w:lineRule="exact"/>
        <w:ind w:firstLine="608" w:firstLineChars="200"/>
        <w:outlineLvl w:val="0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及时安排资金支付劳务派遣人员工资。</w:t>
      </w:r>
    </w:p>
    <w:p>
      <w:pPr>
        <w:numPr>
          <w:ilvl w:val="0"/>
          <w:numId w:val="5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numPr>
          <w:ilvl w:val="0"/>
          <w:numId w:val="0"/>
        </w:numPr>
        <w:spacing w:line="57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2023年未完成支付12月劳务派遣人员工资，有待后续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资金的安排支出。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3219450</wp:posOffset>
                </wp:positionV>
                <wp:extent cx="635" cy="0"/>
                <wp:effectExtent l="0" t="0" r="0" b="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207pt;margin-top:253.5pt;height:0pt;width:0.05pt;z-index:251659264;mso-width-relative:page;mso-height-relative:page;" filled="f" stroked="t" coordsize="21600,21600" o:gfxdata="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TlIsLWAAAACwEAAA8AAAAAAAAAAQAg&#10;AAAAIgAAAGRycy9kb3ducmV2LnhtbFBLAQIUABQAAAAIAIdO4kCMFKv81wEAANU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/Kz6soBAACaAwAADgAAAGRycy9lMm9Eb2MueG1srVPNjtMwEL4j8Q6W&#10;79Rpk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jy&#10;d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/Kz6s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11A34"/>
    <w:multiLevelType w:val="singleLevel"/>
    <w:tmpl w:val="AE611A3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8B4B111"/>
    <w:multiLevelType w:val="singleLevel"/>
    <w:tmpl w:val="E8B4B111"/>
    <w:lvl w:ilvl="0" w:tentative="0">
      <w:start w:val="2"/>
      <w:numFmt w:val="decimal"/>
      <w:suff w:val="nothing"/>
      <w:lvlText w:val="（%1）"/>
      <w:lvlJc w:val="left"/>
      <w:pPr>
        <w:ind w:left="200"/>
      </w:pPr>
    </w:lvl>
  </w:abstractNum>
  <w:abstractNum w:abstractNumId="2">
    <w:nsid w:val="F302672B"/>
    <w:multiLevelType w:val="singleLevel"/>
    <w:tmpl w:val="F302672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E3E267"/>
    <w:multiLevelType w:val="singleLevel"/>
    <w:tmpl w:val="6BE3E26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EECE83B"/>
    <w:multiLevelType w:val="singleLevel"/>
    <w:tmpl w:val="6EECE83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jAwY2IzZjIzYTMxZjhhNTNiOTdlOWM5NzkyMmQifQ=="/>
  </w:docVars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81D0F"/>
    <w:rsid w:val="005D6FE2"/>
    <w:rsid w:val="0074723A"/>
    <w:rsid w:val="0082442A"/>
    <w:rsid w:val="00857ADA"/>
    <w:rsid w:val="00857C10"/>
    <w:rsid w:val="00A22301"/>
    <w:rsid w:val="00A32CBC"/>
    <w:rsid w:val="00A55291"/>
    <w:rsid w:val="00AB17A5"/>
    <w:rsid w:val="00AD5140"/>
    <w:rsid w:val="00AF45FC"/>
    <w:rsid w:val="00B633B9"/>
    <w:rsid w:val="00BB72DF"/>
    <w:rsid w:val="00C14DDA"/>
    <w:rsid w:val="00C213B0"/>
    <w:rsid w:val="00C93E11"/>
    <w:rsid w:val="00D0026E"/>
    <w:rsid w:val="00DE5FAB"/>
    <w:rsid w:val="00E435EE"/>
    <w:rsid w:val="00F12293"/>
    <w:rsid w:val="00FD7AC9"/>
    <w:rsid w:val="014364A0"/>
    <w:rsid w:val="01704002"/>
    <w:rsid w:val="03163E1D"/>
    <w:rsid w:val="03461B0B"/>
    <w:rsid w:val="03736BC9"/>
    <w:rsid w:val="03A73DA3"/>
    <w:rsid w:val="03D9195C"/>
    <w:rsid w:val="047C49E9"/>
    <w:rsid w:val="051E41F2"/>
    <w:rsid w:val="06310037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D22141A"/>
    <w:rsid w:val="0D33297A"/>
    <w:rsid w:val="0D8E049A"/>
    <w:rsid w:val="0D8F61CA"/>
    <w:rsid w:val="0E1B4EB5"/>
    <w:rsid w:val="0FB748D6"/>
    <w:rsid w:val="0FF90BC3"/>
    <w:rsid w:val="11233512"/>
    <w:rsid w:val="112934B3"/>
    <w:rsid w:val="115E178F"/>
    <w:rsid w:val="116B779F"/>
    <w:rsid w:val="12383670"/>
    <w:rsid w:val="13B54A2A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127A0B"/>
    <w:rsid w:val="194C6A11"/>
    <w:rsid w:val="19574DA2"/>
    <w:rsid w:val="196400F3"/>
    <w:rsid w:val="1A1B2562"/>
    <w:rsid w:val="1A9E72B8"/>
    <w:rsid w:val="1B005866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F536AF"/>
    <w:rsid w:val="25020C47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937707F"/>
    <w:rsid w:val="29793723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6619B8"/>
    <w:rsid w:val="30EB624E"/>
    <w:rsid w:val="31336B36"/>
    <w:rsid w:val="32461D6D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94782F"/>
    <w:rsid w:val="36C33766"/>
    <w:rsid w:val="36E14E62"/>
    <w:rsid w:val="36F05BAE"/>
    <w:rsid w:val="371B2276"/>
    <w:rsid w:val="38145D11"/>
    <w:rsid w:val="38393DF4"/>
    <w:rsid w:val="38764AB1"/>
    <w:rsid w:val="38E519BE"/>
    <w:rsid w:val="398648EE"/>
    <w:rsid w:val="39A62C24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BD62DD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4541982"/>
    <w:rsid w:val="449B0558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8C91F70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0799A"/>
    <w:rsid w:val="4E6D2CB8"/>
    <w:rsid w:val="4EB95335"/>
    <w:rsid w:val="4ED97DE9"/>
    <w:rsid w:val="4EF9611F"/>
    <w:rsid w:val="4F376FA7"/>
    <w:rsid w:val="4F5167AE"/>
    <w:rsid w:val="50804CA1"/>
    <w:rsid w:val="52BF2FD2"/>
    <w:rsid w:val="54664607"/>
    <w:rsid w:val="549D6CE0"/>
    <w:rsid w:val="54BD5016"/>
    <w:rsid w:val="54FC4329"/>
    <w:rsid w:val="551C25E3"/>
    <w:rsid w:val="5597277B"/>
    <w:rsid w:val="55B84EAE"/>
    <w:rsid w:val="568865B9"/>
    <w:rsid w:val="56B954B5"/>
    <w:rsid w:val="571E5A7A"/>
    <w:rsid w:val="579447BF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D7828E6"/>
    <w:rsid w:val="5DFB3153"/>
    <w:rsid w:val="5E277206"/>
    <w:rsid w:val="5E731884"/>
    <w:rsid w:val="5F164911"/>
    <w:rsid w:val="5F995DE3"/>
    <w:rsid w:val="6017488E"/>
    <w:rsid w:val="60510E15"/>
    <w:rsid w:val="60C721C8"/>
    <w:rsid w:val="616B7363"/>
    <w:rsid w:val="61AC7DCD"/>
    <w:rsid w:val="62441245"/>
    <w:rsid w:val="62994EF1"/>
    <w:rsid w:val="62C008FD"/>
    <w:rsid w:val="62E564B7"/>
    <w:rsid w:val="63537A0E"/>
    <w:rsid w:val="63BA70C1"/>
    <w:rsid w:val="63F04D04"/>
    <w:rsid w:val="6463123F"/>
    <w:rsid w:val="64A358AC"/>
    <w:rsid w:val="64FC5F3B"/>
    <w:rsid w:val="65341AF1"/>
    <w:rsid w:val="655A2888"/>
    <w:rsid w:val="65B61139"/>
    <w:rsid w:val="66041A18"/>
    <w:rsid w:val="674525FC"/>
    <w:rsid w:val="67C51451"/>
    <w:rsid w:val="686B6B5C"/>
    <w:rsid w:val="68FE429C"/>
    <w:rsid w:val="690F60BD"/>
    <w:rsid w:val="691702F9"/>
    <w:rsid w:val="697A6D19"/>
    <w:rsid w:val="698450AA"/>
    <w:rsid w:val="69A73642"/>
    <w:rsid w:val="69B00B56"/>
    <w:rsid w:val="69FB3DEF"/>
    <w:rsid w:val="6A680BA0"/>
    <w:rsid w:val="6A9E6E7B"/>
    <w:rsid w:val="6ADF78E5"/>
    <w:rsid w:val="6AEC4CA2"/>
    <w:rsid w:val="6BC333DB"/>
    <w:rsid w:val="6BDD3C11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144063"/>
    <w:rsid w:val="702C7A97"/>
    <w:rsid w:val="70593DDE"/>
    <w:rsid w:val="70DA0EB4"/>
    <w:rsid w:val="73BC69EE"/>
    <w:rsid w:val="73DC4D25"/>
    <w:rsid w:val="73E82D35"/>
    <w:rsid w:val="73FD5F5A"/>
    <w:rsid w:val="74335733"/>
    <w:rsid w:val="745F1A7B"/>
    <w:rsid w:val="74DC4BBD"/>
    <w:rsid w:val="757A26DA"/>
    <w:rsid w:val="757A7C49"/>
    <w:rsid w:val="75C42647"/>
    <w:rsid w:val="765E373E"/>
    <w:rsid w:val="76DF57A9"/>
    <w:rsid w:val="772B760F"/>
    <w:rsid w:val="773612D9"/>
    <w:rsid w:val="77C4430A"/>
    <w:rsid w:val="78715728"/>
    <w:rsid w:val="791E32C2"/>
    <w:rsid w:val="79A10018"/>
    <w:rsid w:val="79D762F4"/>
    <w:rsid w:val="7A5A304A"/>
    <w:rsid w:val="7A5E405D"/>
    <w:rsid w:val="7A5F5333"/>
    <w:rsid w:val="7ABB1DEA"/>
    <w:rsid w:val="7C496874"/>
    <w:rsid w:val="7C7F110C"/>
    <w:rsid w:val="7C99137B"/>
    <w:rsid w:val="7E813419"/>
    <w:rsid w:val="7F0204F0"/>
    <w:rsid w:val="7F6B740A"/>
    <w:rsid w:val="7F7052A0"/>
    <w:rsid w:val="7F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styleId="10">
    <w:name w:val="List Paragraph"/>
    <w:basedOn w:val="1"/>
    <w:autoRedefine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1652</Words>
  <Characters>1752</Characters>
  <Lines>12</Lines>
  <Paragraphs>3</Paragraphs>
  <TotalTime>69</TotalTime>
  <ScaleCrop>false</ScaleCrop>
  <LinksUpToDate>false</LinksUpToDate>
  <CharactersWithSpaces>2024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jhon</cp:lastModifiedBy>
  <cp:lastPrinted>2024-01-16T03:06:29Z</cp:lastPrinted>
  <dcterms:modified xsi:type="dcterms:W3CDTF">2024-01-16T03:21:38Z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EBC7A330151D443B85B9903842295372</vt:lpwstr>
  </property>
</Properties>
</file>