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bookmarkStart w:id="0" w:name="_GoBack"/>
      <w:bookmarkEnd w:id="0"/>
    </w:p>
    <w:p>
      <w:pPr>
        <w:rPr>
          <w:sz w:val="84"/>
          <w:szCs w:val="84"/>
          <w:u w:val="single"/>
        </w:rPr>
      </w:pPr>
    </w:p>
    <w:p>
      <w:pPr>
        <w:rPr>
          <w:sz w:val="84"/>
          <w:szCs w:val="84"/>
          <w:u w:val="single"/>
        </w:rPr>
      </w:pPr>
    </w:p>
    <w:p>
      <w:pPr>
        <w:rPr>
          <w:sz w:val="84"/>
          <w:szCs w:val="84"/>
          <w:u w:val="single"/>
        </w:rPr>
      </w:pPr>
    </w:p>
    <w:p>
      <w:pPr>
        <w:jc w:val="center"/>
        <w:rPr>
          <w:sz w:val="84"/>
          <w:szCs w:val="84"/>
        </w:rPr>
      </w:pPr>
      <w:r>
        <w:rPr>
          <w:rFonts w:hint="eastAsia"/>
          <w:sz w:val="84"/>
          <w:szCs w:val="84"/>
        </w:rPr>
        <w:t>20</w:t>
      </w:r>
      <w:r>
        <w:rPr>
          <w:sz w:val="84"/>
          <w:szCs w:val="84"/>
        </w:rPr>
        <w:t>2</w:t>
      </w:r>
      <w:r>
        <w:rPr>
          <w:rFonts w:hint="eastAsia"/>
          <w:sz w:val="84"/>
          <w:szCs w:val="84"/>
        </w:rPr>
        <w:t>1年东方市图书馆部门预算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spacing w:line="400" w:lineRule="exact"/>
        <w:jc w:val="center"/>
        <w:rPr>
          <w:rFonts w:ascii="黑体" w:hAnsi="黑体" w:eastAsia="黑体"/>
          <w:sz w:val="52"/>
          <w:szCs w:val="52"/>
        </w:rPr>
      </w:pPr>
    </w:p>
    <w:p>
      <w:pPr>
        <w:pStyle w:val="10"/>
        <w:numPr>
          <w:ilvl w:val="0"/>
          <w:numId w:val="1"/>
        </w:numPr>
        <w:ind w:firstLineChars="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   东方市图书馆概况</w:t>
      </w:r>
    </w:p>
    <w:p>
      <w:pPr>
        <w:pStyle w:val="10"/>
        <w:numPr>
          <w:ilvl w:val="0"/>
          <w:numId w:val="2"/>
        </w:numPr>
        <w:ind w:firstLineChars="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主要职能及机构设置情况</w:t>
      </w:r>
    </w:p>
    <w:p>
      <w:pPr>
        <w:pStyle w:val="10"/>
        <w:numPr>
          <w:ilvl w:val="0"/>
          <w:numId w:val="2"/>
        </w:numPr>
        <w:ind w:firstLineChars="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部门预算单位构成</w:t>
      </w:r>
    </w:p>
    <w:p>
      <w:pPr>
        <w:pStyle w:val="10"/>
        <w:numPr>
          <w:ilvl w:val="0"/>
          <w:numId w:val="1"/>
        </w:numPr>
        <w:ind w:firstLineChars="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  东方市图书馆2021年部门预算表</w:t>
      </w:r>
    </w:p>
    <w:p>
      <w:pPr>
        <w:pStyle w:val="10"/>
        <w:numPr>
          <w:ilvl w:val="0"/>
          <w:numId w:val="3"/>
        </w:numPr>
        <w:ind w:firstLineChars="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财政拨款收支总表</w:t>
      </w:r>
    </w:p>
    <w:p>
      <w:pPr>
        <w:pStyle w:val="10"/>
        <w:numPr>
          <w:ilvl w:val="0"/>
          <w:numId w:val="3"/>
        </w:numPr>
        <w:ind w:firstLineChars="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一般公共预算支出表</w:t>
      </w:r>
    </w:p>
    <w:p>
      <w:pPr>
        <w:pStyle w:val="10"/>
        <w:numPr>
          <w:ilvl w:val="0"/>
          <w:numId w:val="3"/>
        </w:numPr>
        <w:ind w:firstLineChars="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一般公共预算基本支出表</w:t>
      </w:r>
    </w:p>
    <w:p>
      <w:pPr>
        <w:pStyle w:val="10"/>
        <w:numPr>
          <w:ilvl w:val="0"/>
          <w:numId w:val="3"/>
        </w:numPr>
        <w:ind w:firstLineChars="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一般公共预算“三公”经费支出表</w:t>
      </w:r>
    </w:p>
    <w:p>
      <w:pPr>
        <w:pStyle w:val="10"/>
        <w:numPr>
          <w:ilvl w:val="0"/>
          <w:numId w:val="3"/>
        </w:numPr>
        <w:ind w:firstLineChars="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政府性基金预算支出表</w:t>
      </w:r>
    </w:p>
    <w:p>
      <w:pPr>
        <w:pStyle w:val="10"/>
        <w:numPr>
          <w:ilvl w:val="0"/>
          <w:numId w:val="3"/>
        </w:numPr>
        <w:ind w:firstLineChars="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政府性基金预算“三公”经费支出表</w:t>
      </w:r>
    </w:p>
    <w:p>
      <w:pPr>
        <w:pStyle w:val="10"/>
        <w:numPr>
          <w:ilvl w:val="0"/>
          <w:numId w:val="3"/>
        </w:numPr>
        <w:ind w:firstLineChars="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部门收支总表</w:t>
      </w:r>
    </w:p>
    <w:p>
      <w:pPr>
        <w:pStyle w:val="10"/>
        <w:numPr>
          <w:ilvl w:val="0"/>
          <w:numId w:val="3"/>
        </w:numPr>
        <w:ind w:firstLineChars="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部门收入总表</w:t>
      </w:r>
    </w:p>
    <w:p>
      <w:pPr>
        <w:pStyle w:val="10"/>
        <w:numPr>
          <w:ilvl w:val="0"/>
          <w:numId w:val="3"/>
        </w:numPr>
        <w:ind w:firstLineChars="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部门支出总表</w:t>
      </w:r>
    </w:p>
    <w:p>
      <w:pPr>
        <w:pStyle w:val="10"/>
        <w:numPr>
          <w:ilvl w:val="0"/>
          <w:numId w:val="3"/>
        </w:numPr>
        <w:ind w:firstLineChars="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项目支出绩效信息表</w:t>
      </w:r>
    </w:p>
    <w:p>
      <w:pPr>
        <w:pStyle w:val="10"/>
        <w:numPr>
          <w:ilvl w:val="0"/>
          <w:numId w:val="1"/>
        </w:numPr>
        <w:ind w:firstLineChars="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  东方市图书馆2021年部门预算情况说明</w:t>
      </w:r>
    </w:p>
    <w:p>
      <w:pPr>
        <w:pStyle w:val="10"/>
        <w:numPr>
          <w:ilvl w:val="0"/>
          <w:numId w:val="1"/>
        </w:numPr>
        <w:ind w:firstLineChars="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   名词解释</w:t>
      </w:r>
    </w:p>
    <w:p>
      <w:pPr>
        <w:pStyle w:val="10"/>
        <w:ind w:left="1320" w:firstLine="0" w:firstLineChars="0"/>
        <w:jc w:val="left"/>
        <w:rPr>
          <w:rFonts w:ascii="黑体" w:hAnsi="黑体" w:eastAsia="黑体"/>
          <w:sz w:val="32"/>
          <w:szCs w:val="32"/>
        </w:rPr>
      </w:pPr>
    </w:p>
    <w:p>
      <w:pPr>
        <w:pStyle w:val="10"/>
        <w:ind w:left="1320" w:firstLine="0" w:firstLineChars="0"/>
        <w:jc w:val="left"/>
        <w:rPr>
          <w:rFonts w:ascii="黑体" w:hAnsi="黑体" w:eastAsia="黑体"/>
          <w:sz w:val="32"/>
          <w:szCs w:val="32"/>
        </w:rPr>
      </w:pPr>
    </w:p>
    <w:p>
      <w:pPr>
        <w:pStyle w:val="10"/>
        <w:ind w:left="1320" w:firstLine="0" w:firstLineChars="0"/>
        <w:jc w:val="left"/>
        <w:rPr>
          <w:rFonts w:ascii="黑体" w:hAnsi="黑体" w:eastAsia="黑体"/>
          <w:sz w:val="32"/>
          <w:szCs w:val="32"/>
        </w:rPr>
      </w:pPr>
    </w:p>
    <w:p>
      <w:pPr>
        <w:pStyle w:val="10"/>
        <w:ind w:left="1320" w:firstLine="0" w:firstLineChars="0"/>
        <w:jc w:val="left"/>
        <w:rPr>
          <w:rFonts w:ascii="黑体" w:hAnsi="黑体" w:eastAsia="黑体"/>
          <w:sz w:val="32"/>
          <w:szCs w:val="32"/>
        </w:rPr>
      </w:pPr>
    </w:p>
    <w:p>
      <w:pPr>
        <w:pStyle w:val="10"/>
        <w:numPr>
          <w:ilvl w:val="0"/>
          <w:numId w:val="4"/>
        </w:numPr>
        <w:spacing w:line="600" w:lineRule="exact"/>
        <w:ind w:firstLineChars="0"/>
        <w:jc w:val="center"/>
        <w:rPr>
          <w:rFonts w:ascii="方正黑体_GBK" w:hAnsi="方正黑体_GBK" w:eastAsia="方正黑体_GBK" w:cs="方正黑体_GBK"/>
          <w:sz w:val="32"/>
          <w:szCs w:val="32"/>
        </w:rPr>
      </w:pPr>
      <w:r>
        <w:rPr>
          <w:rFonts w:hint="eastAsia" w:ascii="黑体" w:hAnsi="黑体" w:eastAsia="黑体"/>
          <w:sz w:val="32"/>
          <w:szCs w:val="32"/>
        </w:rPr>
        <w:t xml:space="preserve">  </w:t>
      </w:r>
      <w:r>
        <w:rPr>
          <w:rFonts w:hint="eastAsia" w:ascii="方正黑体_GBK" w:hAnsi="方正黑体_GBK" w:eastAsia="方正黑体_GBK" w:cs="方正黑体_GBK"/>
          <w:sz w:val="32"/>
          <w:szCs w:val="32"/>
        </w:rPr>
        <w:t>东方市图书馆概况</w:t>
      </w:r>
    </w:p>
    <w:p>
      <w:pPr>
        <w:pStyle w:val="10"/>
        <w:spacing w:line="600" w:lineRule="exact"/>
        <w:ind w:firstLine="0" w:firstLineChars="0"/>
        <w:rPr>
          <w:rFonts w:ascii="仿宋_GB2312" w:hAnsi="仿宋_GB2312" w:eastAsia="仿宋_GB2312" w:cs="仿宋_GB2312"/>
          <w:sz w:val="32"/>
          <w:szCs w:val="32"/>
        </w:rPr>
      </w:pPr>
    </w:p>
    <w:p>
      <w:pPr>
        <w:pStyle w:val="10"/>
        <w:numPr>
          <w:ilvl w:val="0"/>
          <w:numId w:val="5"/>
        </w:numPr>
        <w:spacing w:line="600" w:lineRule="exact"/>
        <w:ind w:firstLineChars="0"/>
        <w:jc w:val="left"/>
        <w:rPr>
          <w:rFonts w:ascii="黑体" w:hAnsi="黑体" w:eastAsia="黑体" w:cs="仿宋_GB2312"/>
          <w:sz w:val="32"/>
          <w:szCs w:val="32"/>
        </w:rPr>
      </w:pPr>
      <w:r>
        <w:rPr>
          <w:rFonts w:hint="eastAsia" w:ascii="方正黑体_GBK" w:hAnsi="方正黑体_GBK" w:eastAsia="方正黑体_GBK" w:cs="方正黑体_GBK"/>
          <w:sz w:val="32"/>
          <w:szCs w:val="32"/>
        </w:rPr>
        <w:t>主要职能及机构设置情况</w:t>
      </w:r>
    </w:p>
    <w:p>
      <w:pPr>
        <w:pStyle w:val="10"/>
        <w:numPr>
          <w:ilvl w:val="0"/>
          <w:numId w:val="6"/>
        </w:numPr>
        <w:spacing w:line="600" w:lineRule="exact"/>
        <w:ind w:firstLineChars="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采集各种类型的文献资料，进行科学的加工整序和管理，开发和建设信息资源，为政府部门和单位及社会各界提供文献信息服务。</w:t>
      </w:r>
    </w:p>
    <w:p>
      <w:pPr>
        <w:pStyle w:val="10"/>
        <w:numPr>
          <w:ilvl w:val="0"/>
          <w:numId w:val="6"/>
        </w:numPr>
        <w:spacing w:line="600" w:lineRule="exact"/>
        <w:ind w:firstLineChars="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开展流通借阅、读教辅导、参考咨询、电子阅览、信息服务和培训工作。</w:t>
      </w:r>
    </w:p>
    <w:p>
      <w:pPr>
        <w:pStyle w:val="10"/>
        <w:numPr>
          <w:ilvl w:val="0"/>
          <w:numId w:val="6"/>
        </w:numPr>
        <w:spacing w:line="600" w:lineRule="exact"/>
        <w:ind w:firstLineChars="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参加图书馆事业的建设，开展多方面协作，实现文化信息资源共建共享。</w:t>
      </w:r>
    </w:p>
    <w:p>
      <w:pPr>
        <w:pStyle w:val="10"/>
        <w:numPr>
          <w:ilvl w:val="0"/>
          <w:numId w:val="6"/>
        </w:numPr>
        <w:spacing w:line="600" w:lineRule="exact"/>
        <w:ind w:firstLineChars="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加强图书馆软件和硬件设施，创造良好的社会效益。</w:t>
      </w:r>
    </w:p>
    <w:p>
      <w:pPr>
        <w:pStyle w:val="10"/>
        <w:numPr>
          <w:ilvl w:val="0"/>
          <w:numId w:val="6"/>
        </w:numPr>
        <w:spacing w:line="600" w:lineRule="exact"/>
        <w:ind w:firstLineChars="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承担“文化下乡、下社区、下军营服务”工作。</w:t>
      </w:r>
    </w:p>
    <w:p>
      <w:pPr>
        <w:pStyle w:val="10"/>
        <w:numPr>
          <w:ilvl w:val="0"/>
          <w:numId w:val="6"/>
        </w:numPr>
        <w:spacing w:line="600" w:lineRule="exact"/>
        <w:ind w:firstLineChars="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承办市委市政府和上级文管部门交的其他工作。</w:t>
      </w:r>
    </w:p>
    <w:p>
      <w:pPr>
        <w:spacing w:line="600" w:lineRule="exact"/>
        <w:ind w:firstLine="960" w:firstLineChars="3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根据上述职责，本部门（单位）内设</w:t>
      </w:r>
      <w:r>
        <w:rPr>
          <w:rFonts w:hint="eastAsia" w:ascii="方正仿宋_GBK" w:hAnsi="方正仿宋_GBK" w:eastAsia="方正仿宋_GBK" w:cs="方正仿宋_GBK"/>
          <w:sz w:val="32"/>
          <w:szCs w:val="32"/>
          <w:lang w:val="en-US" w:eastAsia="zh-CN"/>
        </w:rPr>
        <w:t>办公室、采编部、读者服务部、技术管理部等4</w:t>
      </w:r>
      <w:r>
        <w:rPr>
          <w:rFonts w:hint="eastAsia" w:ascii="方正仿宋_GBK" w:hAnsi="方正仿宋_GBK" w:eastAsia="方正仿宋_GBK" w:cs="方正仿宋_GBK"/>
          <w:sz w:val="32"/>
          <w:szCs w:val="32"/>
        </w:rPr>
        <w:t>个职能机构（科室、部门）。</w:t>
      </w:r>
    </w:p>
    <w:p>
      <w:pPr>
        <w:pStyle w:val="10"/>
        <w:numPr>
          <w:ilvl w:val="0"/>
          <w:numId w:val="0"/>
        </w:numPr>
        <w:spacing w:line="600" w:lineRule="exact"/>
        <w:ind w:leftChars="0"/>
        <w:jc w:val="left"/>
        <w:rPr>
          <w:rFonts w:ascii="黑体" w:hAnsi="黑体" w:eastAsia="黑体" w:cs="仿宋_GB2312"/>
          <w:sz w:val="32"/>
          <w:szCs w:val="32"/>
        </w:rPr>
      </w:pPr>
      <w:r>
        <w:rPr>
          <w:rFonts w:hint="eastAsia" w:ascii="方正黑体_GBK" w:hAnsi="方正黑体_GBK" w:eastAsia="方正黑体_GBK" w:cs="方正黑体_GBK"/>
          <w:sz w:val="32"/>
          <w:szCs w:val="32"/>
          <w:lang w:val="en-US" w:eastAsia="zh-CN"/>
        </w:rPr>
        <w:t>二、</w:t>
      </w:r>
      <w:r>
        <w:rPr>
          <w:rFonts w:hint="eastAsia" w:ascii="方正黑体_GBK" w:hAnsi="方正黑体_GBK" w:eastAsia="方正黑体_GBK" w:cs="方正黑体_GBK"/>
          <w:sz w:val="32"/>
          <w:szCs w:val="32"/>
        </w:rPr>
        <w:t>部门预算单位构成</w:t>
      </w:r>
    </w:p>
    <w:p>
      <w:pPr>
        <w:pStyle w:val="7"/>
        <w:widowControl/>
        <w:spacing w:line="600" w:lineRule="exact"/>
        <w:ind w:firstLine="320" w:firstLineChars="100"/>
        <w:rPr>
          <w:rFonts w:ascii="方正仿宋_GBK" w:hAnsi="方正仿宋_GBK" w:eastAsia="方正仿宋_GBK" w:cs="方正仿宋_GBK"/>
          <w:color w:val="000000" w:themeColor="text1"/>
          <w:sz w:val="30"/>
          <w:szCs w:val="30"/>
        </w:rPr>
      </w:pPr>
      <w:r>
        <w:rPr>
          <w:rFonts w:hint="eastAsia" w:ascii="方正仿宋_GBK" w:hAnsi="方正仿宋_GBK" w:eastAsia="方正仿宋_GBK" w:cs="方正仿宋_GBK"/>
          <w:color w:val="000000" w:themeColor="text1"/>
          <w:kern w:val="0"/>
          <w:sz w:val="32"/>
          <w:szCs w:val="32"/>
        </w:rPr>
        <w:t>纳入</w:t>
      </w:r>
      <w:r>
        <w:rPr>
          <w:rFonts w:hint="eastAsia" w:ascii="方正黑体_GBK" w:hAnsi="方正黑体_GBK" w:eastAsia="方正黑体_GBK" w:cs="方正黑体_GBK"/>
          <w:sz w:val="32"/>
          <w:szCs w:val="32"/>
        </w:rPr>
        <w:t>东方市图书馆</w:t>
      </w:r>
      <w:r>
        <w:rPr>
          <w:rFonts w:hint="eastAsia" w:ascii="方正仿宋_GBK" w:hAnsi="方正仿宋_GBK" w:eastAsia="方正仿宋_GBK" w:cs="方正仿宋_GBK"/>
          <w:color w:val="000000" w:themeColor="text1"/>
          <w:kern w:val="0"/>
          <w:sz w:val="32"/>
          <w:szCs w:val="32"/>
        </w:rPr>
        <w:t>2021年部门预算编制范围预算单位仅为本</w:t>
      </w:r>
      <w:r>
        <w:rPr>
          <w:rFonts w:hint="eastAsia" w:ascii="方正仿宋_GBK" w:hAnsi="方正仿宋_GBK" w:eastAsia="方正仿宋_GBK" w:cs="方正仿宋_GBK"/>
          <w:color w:val="000000" w:themeColor="text1"/>
          <w:kern w:val="0"/>
          <w:sz w:val="30"/>
          <w:szCs w:val="30"/>
        </w:rPr>
        <w:t>部门（单位）不含下属二级预算单位</w:t>
      </w:r>
      <w:r>
        <w:rPr>
          <w:rFonts w:hint="eastAsia" w:ascii="方正仿宋_GBK" w:hAnsi="方正仿宋_GBK" w:eastAsia="方正仿宋_GBK" w:cs="方正仿宋_GBK"/>
          <w:color w:val="000000" w:themeColor="text1"/>
          <w:kern w:val="0"/>
          <w:sz w:val="32"/>
          <w:szCs w:val="32"/>
        </w:rPr>
        <w:t>。</w:t>
      </w:r>
    </w:p>
    <w:p>
      <w:pPr>
        <w:numPr>
          <w:ilvl w:val="0"/>
          <w:numId w:val="7"/>
        </w:numPr>
        <w:spacing w:line="600" w:lineRule="exact"/>
        <w:ind w:firstLine="1280" w:firstLineChars="400"/>
        <w:jc w:val="both"/>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 东方市图书馆2021年部门预算表</w:t>
      </w:r>
    </w:p>
    <w:p>
      <w:pPr>
        <w:numPr>
          <w:ilvl w:val="0"/>
          <w:numId w:val="0"/>
        </w:numPr>
        <w:spacing w:line="600" w:lineRule="exact"/>
        <w:ind w:firstLine="640" w:firstLineChars="200"/>
        <w:jc w:val="both"/>
        <w:rPr>
          <w:rFonts w:ascii="方正仿宋_GBK" w:hAnsi="方正仿宋_GBK" w:eastAsia="方正仿宋_GBK" w:cs="方正仿宋_GBK"/>
          <w:bCs/>
          <w:color w:val="auto"/>
          <w:sz w:val="32"/>
          <w:szCs w:val="32"/>
        </w:rPr>
      </w:pPr>
      <w:r>
        <w:rPr>
          <w:rFonts w:hint="eastAsia" w:ascii="方正仿宋_GBK" w:hAnsi="方正仿宋_GBK" w:eastAsia="方正仿宋_GBK" w:cs="方正仿宋_GBK"/>
          <w:bCs/>
          <w:sz w:val="32"/>
          <w:szCs w:val="32"/>
        </w:rPr>
        <w:t>此部分内容即为部门预算公开表，详见</w:t>
      </w:r>
      <w:r>
        <w:rPr>
          <w:rFonts w:hint="eastAsia" w:ascii="方正仿宋_GBK" w:hAnsi="方正仿宋_GBK" w:eastAsia="方正仿宋_GBK" w:cs="方正仿宋_GBK"/>
          <w:bCs/>
          <w:color w:val="auto"/>
          <w:kern w:val="2"/>
          <w:sz w:val="32"/>
          <w:szCs w:val="32"/>
        </w:rPr>
        <w:t>《2021年海南省东方市部门预算表》</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bCs/>
          <w:color w:val="auto"/>
          <w:sz w:val="32"/>
          <w:szCs w:val="32"/>
        </w:rPr>
        <w:t>。</w:t>
      </w:r>
    </w:p>
    <w:p>
      <w:pPr>
        <w:spacing w:line="600"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第三部分   东方市图书馆2021年部门预算情况说明</w:t>
      </w:r>
    </w:p>
    <w:p>
      <w:pPr>
        <w:spacing w:line="600" w:lineRule="exact"/>
        <w:ind w:firstLine="640" w:firstLineChars="20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一、关于东方市图书馆2021年财政拨款收支预算情况的总体说明</w:t>
      </w:r>
    </w:p>
    <w:p>
      <w:pPr>
        <w:spacing w:line="600" w:lineRule="exact"/>
        <w:ind w:firstLine="640" w:firstLineChars="200"/>
        <w:jc w:val="left"/>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东方市图书馆</w:t>
      </w:r>
      <w:r>
        <w:rPr>
          <w:rFonts w:hint="eastAsia" w:ascii="方正仿宋_GBK" w:hAnsi="方正仿宋_GBK" w:eastAsia="方正仿宋_GBK" w:cs="方正仿宋_GBK"/>
          <w:sz w:val="32"/>
          <w:szCs w:val="32"/>
        </w:rPr>
        <w:t>2021年财政拨款收支总预算94.08万元。其中，收入总计94.08万元，包括一般公共预算本年收入85.08万元、政府性基金预算本年收入9万元；支出总计94.08万元，包括文化旅游体育与传媒支出59.83万元、社会保障和就业支出6.05万元、卫生健康支出14.51万元、城乡社区支出9万元、住房保障支出4.69万元。</w:t>
      </w:r>
    </w:p>
    <w:p>
      <w:pPr>
        <w:spacing w:line="600" w:lineRule="exact"/>
        <w:ind w:firstLine="64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二、关于东方市图书馆2021年一般公共预算当年拨款情况说明</w:t>
      </w:r>
    </w:p>
    <w:p>
      <w:pPr>
        <w:spacing w:line="600" w:lineRule="exact"/>
        <w:ind w:firstLine="64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（一）一般公共预算当年规模情况</w:t>
      </w:r>
    </w:p>
    <w:p>
      <w:pPr>
        <w:spacing w:line="600" w:lineRule="exact"/>
        <w:ind w:firstLine="640" w:firstLineChars="200"/>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东方市图书馆</w:t>
      </w:r>
      <w:r>
        <w:rPr>
          <w:rFonts w:hint="eastAsia" w:ascii="方正仿宋_GBK" w:hAnsi="方正仿宋_GBK" w:eastAsia="方正仿宋_GBK" w:cs="方正仿宋_GBK"/>
          <w:sz w:val="32"/>
          <w:szCs w:val="32"/>
        </w:rPr>
        <w:t>2021年一般公共预算当年安排85.08万元。</w:t>
      </w:r>
    </w:p>
    <w:p>
      <w:pPr>
        <w:spacing w:line="600" w:lineRule="exact"/>
        <w:ind w:firstLine="64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（二）一般公共预算当年拨款结构情况</w:t>
      </w:r>
    </w:p>
    <w:p>
      <w:pPr>
        <w:spacing w:line="600" w:lineRule="exact"/>
        <w:ind w:firstLine="800" w:firstLineChars="25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文化旅游体育与传媒支出（类）59.83万元，占70%；卫生健康支出（类）14.51万元，占17.5%社会保障和就业支出（类）6.05万元，占7%；住房保障支出（类）4.69万元，占5.5%。</w:t>
      </w:r>
    </w:p>
    <w:p>
      <w:pPr>
        <w:spacing w:line="600" w:lineRule="exact"/>
        <w:ind w:firstLine="64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（三）一般公共预算当年拨款具体使用情况</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文化旅游体育与传媒支出（类）文化和旅游（款）</w:t>
      </w:r>
      <w:r>
        <w:rPr>
          <w:rFonts w:hint="eastAsia" w:ascii="方正仿宋_GBK" w:hAnsi="方正仿宋_GBK" w:eastAsia="方正仿宋_GBK" w:cs="方正仿宋_GBK"/>
          <w:sz w:val="32"/>
          <w:szCs w:val="32"/>
          <w:lang w:val="en-US" w:eastAsia="zh-CN"/>
        </w:rPr>
        <w:t>图书馆</w:t>
      </w:r>
      <w:r>
        <w:rPr>
          <w:rFonts w:hint="eastAsia" w:ascii="方正仿宋_GBK" w:hAnsi="方正仿宋_GBK" w:eastAsia="方正仿宋_GBK" w:cs="方正仿宋_GBK"/>
          <w:sz w:val="32"/>
          <w:szCs w:val="32"/>
        </w:rPr>
        <w:t>（项）2021年预算数为59.83万元。</w:t>
      </w:r>
    </w:p>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社会保障和就业支出（类）行政事业单位养老支出（款行政事业单位基本养老保险缴费支出（项）2021年预算数为6.05万元。</w:t>
      </w:r>
    </w:p>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 卫生健康支出（类）行政事业单位医疗（款）事业单位医疗（项）2021年预算数为3.21万元。</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 卫生健康支出（类）行政事业单位医疗（款）公务员医疗补助（项）2021年预算数为11.30万元。</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5.住房保障支出（类）住房改革支出（款）住房公积金（项）2021年预算数为4.69万元。</w:t>
      </w:r>
    </w:p>
    <w:p>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三、关于东方市图书馆2021年一般公共预算基本支出情况说明</w:t>
      </w:r>
    </w:p>
    <w:p>
      <w:pPr>
        <w:spacing w:line="600" w:lineRule="exact"/>
        <w:ind w:firstLine="640" w:firstLineChars="200"/>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东方市图书馆</w:t>
      </w:r>
      <w:r>
        <w:rPr>
          <w:rFonts w:hint="eastAsia" w:ascii="方正仿宋_GBK" w:hAnsi="方正仿宋_GBK" w:eastAsia="方正仿宋_GBK" w:cs="方正仿宋_GBK"/>
          <w:sz w:val="32"/>
          <w:szCs w:val="32"/>
        </w:rPr>
        <w:t>2021年一般公共预算基本支出为65.78万元，其中：</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人员经费64.58万元，主要包括：基本工资、津贴补贴、社会保障缴费、住房公积金、对个人和家庭的补助等；</w:t>
      </w:r>
    </w:p>
    <w:p>
      <w:pPr>
        <w:spacing w:line="60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公用经费1.20万元，主要包括：</w:t>
      </w:r>
      <w:r>
        <w:rPr>
          <w:rFonts w:hint="eastAsia" w:ascii="方正仿宋_GBK" w:hAnsi="方正仿宋_GBK" w:eastAsia="方正仿宋_GBK" w:cs="方正仿宋_GBK"/>
          <w:color w:val="auto"/>
          <w:sz w:val="32"/>
          <w:szCs w:val="32"/>
          <w:lang w:val="en-US" w:eastAsia="zh-CN"/>
        </w:rPr>
        <w:t>办公费</w:t>
      </w:r>
      <w:r>
        <w:rPr>
          <w:rFonts w:hint="eastAsia" w:ascii="方正仿宋_GBK" w:hAnsi="方正仿宋_GBK" w:eastAsia="方正仿宋_GBK" w:cs="方正仿宋_GBK"/>
          <w:color w:val="auto"/>
          <w:sz w:val="32"/>
          <w:szCs w:val="32"/>
        </w:rPr>
        <w:t>。</w:t>
      </w:r>
    </w:p>
    <w:p>
      <w:pPr>
        <w:spacing w:line="600" w:lineRule="exact"/>
        <w:ind w:firstLine="640" w:firstLineChars="200"/>
        <w:rPr>
          <w:rFonts w:ascii="方正黑体_GBK" w:hAnsi="方正黑体_GBK" w:eastAsia="方正黑体_GBK" w:cs="方正黑体_GBK"/>
          <w:sz w:val="32"/>
          <w:shd w:val="clear" w:color="auto" w:fill="FFFFFF"/>
        </w:rPr>
      </w:pPr>
      <w:r>
        <w:rPr>
          <w:rFonts w:hint="eastAsia" w:ascii="方正黑体_GBK" w:hAnsi="方正黑体_GBK" w:eastAsia="方正黑体_GBK" w:cs="方正黑体_GBK"/>
          <w:sz w:val="32"/>
          <w:shd w:val="clear" w:color="auto" w:fill="FFFFFF"/>
        </w:rPr>
        <w:t>四、</w:t>
      </w:r>
      <w:r>
        <w:rPr>
          <w:rFonts w:hint="eastAsia" w:ascii="方正黑体_GBK" w:hAnsi="方正黑体_GBK" w:eastAsia="方正黑体_GBK" w:cs="方正黑体_GBK"/>
          <w:sz w:val="32"/>
          <w:szCs w:val="32"/>
        </w:rPr>
        <w:t>东方市图书馆2021</w:t>
      </w:r>
      <w:r>
        <w:rPr>
          <w:rFonts w:hint="eastAsia" w:ascii="方正黑体_GBK" w:hAnsi="方正黑体_GBK" w:eastAsia="方正黑体_GBK" w:cs="方正黑体_GBK"/>
          <w:sz w:val="32"/>
          <w:shd w:val="clear" w:color="auto" w:fill="FFFFFF"/>
        </w:rPr>
        <w:t>年“三公”经费预算情况说明</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w:t>
      </w:r>
      <w:r>
        <w:rPr>
          <w:rFonts w:hint="eastAsia" w:ascii="方正黑体_GBK" w:hAnsi="方正黑体_GBK" w:eastAsia="方正黑体_GBK" w:cs="方正黑体_GBK"/>
          <w:sz w:val="32"/>
          <w:szCs w:val="32"/>
        </w:rPr>
        <w:t>东方市图书馆</w:t>
      </w:r>
      <w:r>
        <w:rPr>
          <w:rFonts w:hint="eastAsia" w:ascii="方正仿宋_GBK" w:hAnsi="方正仿宋_GBK" w:eastAsia="方正仿宋_GBK" w:cs="方正仿宋_GBK"/>
          <w:sz w:val="32"/>
          <w:szCs w:val="32"/>
        </w:rPr>
        <w:t>2021年一般公共预算“三公”经费预算数为0.73万元，其中：</w:t>
      </w:r>
    </w:p>
    <w:p>
      <w:pPr>
        <w:spacing w:line="600" w:lineRule="exact"/>
        <w:ind w:firstLine="640" w:firstLineChars="200"/>
        <w:rPr>
          <w:rFonts w:ascii="方正仿宋_GBK" w:hAnsi="方正仿宋_GBK" w:eastAsia="方正仿宋_GBK" w:cs="方正仿宋_GBK"/>
          <w:sz w:val="32"/>
          <w:shd w:val="clear" w:color="auto" w:fill="FFFFFF"/>
        </w:rPr>
      </w:pPr>
      <w:r>
        <w:rPr>
          <w:rFonts w:hint="eastAsia" w:ascii="方正仿宋_GBK" w:hAnsi="方正仿宋_GBK" w:eastAsia="方正仿宋_GBK" w:cs="方正仿宋_GBK"/>
          <w:kern w:val="0"/>
          <w:sz w:val="32"/>
          <w:szCs w:val="32"/>
          <w:shd w:val="clear" w:color="auto" w:fill="FFFFFF"/>
        </w:rPr>
        <w:t>因公出国（境）经费，2021年本部门（单位）</w:t>
      </w:r>
      <w:r>
        <w:rPr>
          <w:rFonts w:hint="eastAsia" w:ascii="方正仿宋_GBK" w:hAnsi="方正仿宋_GBK" w:eastAsia="方正仿宋_GBK" w:cs="方正仿宋_GBK"/>
          <w:kern w:val="0"/>
          <w:sz w:val="32"/>
          <w:szCs w:val="32"/>
        </w:rPr>
        <w:t>年初无此项经费预算。</w:t>
      </w:r>
    </w:p>
    <w:p>
      <w:pPr>
        <w:spacing w:line="600" w:lineRule="exact"/>
        <w:ind w:firstLine="640" w:firstLineChars="200"/>
        <w:rPr>
          <w:rFonts w:ascii="方正仿宋_GBK" w:hAnsi="方正仿宋_GBK" w:eastAsia="方正仿宋_GBK" w:cs="方正仿宋_GBK"/>
          <w:sz w:val="32"/>
          <w:shd w:val="clear" w:color="auto" w:fill="FFFFFF"/>
        </w:rPr>
      </w:pPr>
      <w:r>
        <w:rPr>
          <w:rFonts w:hint="eastAsia" w:ascii="方正仿宋_GBK" w:hAnsi="方正仿宋_GBK" w:eastAsia="方正仿宋_GBK" w:cs="方正仿宋_GBK"/>
          <w:sz w:val="32"/>
          <w:shd w:val="clear" w:color="auto" w:fill="FFFFFF"/>
        </w:rPr>
        <w:t>公务用车运行费</w:t>
      </w:r>
      <w:r>
        <w:rPr>
          <w:rFonts w:hint="eastAsia" w:ascii="方正仿宋_GBK" w:hAnsi="方正仿宋_GBK" w:eastAsia="方正仿宋_GBK" w:cs="方正仿宋_GBK"/>
          <w:sz w:val="32"/>
          <w:szCs w:val="32"/>
        </w:rPr>
        <w:t>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hd w:val="clear" w:color="auto" w:fill="FFFFFF"/>
        </w:rPr>
        <w:t>与上年预算下降</w:t>
      </w:r>
      <w:r>
        <w:rPr>
          <w:rFonts w:hint="eastAsia" w:ascii="方正仿宋_GBK" w:hAnsi="方正仿宋_GBK" w:eastAsia="方正仿宋_GBK" w:cs="方正仿宋_GBK"/>
          <w:sz w:val="32"/>
          <w:szCs w:val="32"/>
        </w:rPr>
        <w:t>8</w:t>
      </w:r>
      <w:r>
        <w:rPr>
          <w:rFonts w:hint="eastAsia" w:ascii="方正仿宋_GBK" w:hAnsi="方正仿宋_GBK" w:eastAsia="方正仿宋_GBK" w:cs="方正仿宋_GBK"/>
          <w:sz w:val="32"/>
          <w:shd w:val="clear" w:color="auto" w:fill="FFFFFF"/>
        </w:rPr>
        <w:t>%，</w:t>
      </w:r>
      <w:r>
        <w:rPr>
          <w:rFonts w:hint="eastAsia" w:ascii="方正仿宋_GBK" w:hAnsi="方正仿宋_GBK" w:eastAsia="方正仿宋_GBK" w:cs="方正仿宋_GBK"/>
          <w:sz w:val="32"/>
        </w:rPr>
        <w:t>下降的</w:t>
      </w:r>
      <w:r>
        <w:rPr>
          <w:rFonts w:hint="eastAsia" w:ascii="方正仿宋_GBK" w:hAnsi="方正仿宋_GBK" w:eastAsia="方正仿宋_GBK" w:cs="方正仿宋_GBK"/>
          <w:sz w:val="32"/>
          <w:shd w:val="clear" w:color="auto" w:fill="FFFFFF"/>
        </w:rPr>
        <w:t>主要原因</w:t>
      </w:r>
      <w:r>
        <w:rPr>
          <w:rFonts w:hint="eastAsia" w:ascii="方正仿宋_GBK" w:hAnsi="方正仿宋_GBK" w:eastAsia="方正仿宋_GBK" w:cs="方正仿宋_GBK"/>
          <w:sz w:val="32"/>
          <w:shd w:val="clear" w:color="auto" w:fill="FFFFFF"/>
          <w:lang w:eastAsia="zh-CN"/>
        </w:rPr>
        <w:t>：</w:t>
      </w:r>
      <w:r>
        <w:rPr>
          <w:rFonts w:hint="eastAsia" w:ascii="方正仿宋_GBK" w:hAnsi="方正仿宋_GBK" w:eastAsia="方正仿宋_GBK" w:cs="方正仿宋_GBK"/>
          <w:sz w:val="32"/>
          <w:shd w:val="clear" w:color="auto" w:fill="FFFFFF"/>
          <w:lang w:val="en-US" w:eastAsia="zh-CN"/>
        </w:rPr>
        <w:t>继续严格公务车辆使用审批和定点进行日常维修，加强使用管理，控制公务车辆运行费用支出</w:t>
      </w:r>
      <w:r>
        <w:rPr>
          <w:rFonts w:hint="eastAsia" w:ascii="方正仿宋_GBK" w:hAnsi="方正仿宋_GBK" w:eastAsia="方正仿宋_GBK" w:cs="方正仿宋_GBK"/>
          <w:sz w:val="32"/>
          <w:shd w:val="clear" w:color="auto" w:fill="FFFFFF"/>
        </w:rPr>
        <w:t>。</w:t>
      </w:r>
    </w:p>
    <w:p>
      <w:pPr>
        <w:spacing w:line="600" w:lineRule="exact"/>
        <w:ind w:firstLine="640" w:firstLineChars="200"/>
        <w:rPr>
          <w:rFonts w:ascii="方正仿宋_GBK" w:hAnsi="方正仿宋_GBK" w:eastAsia="方正仿宋_GBK" w:cs="方正仿宋_GBK"/>
          <w:b/>
          <w:color w:val="FF0000"/>
          <w:kern w:val="0"/>
          <w:sz w:val="30"/>
          <w:szCs w:val="30"/>
        </w:rPr>
      </w:pPr>
      <w:r>
        <w:rPr>
          <w:rFonts w:hint="eastAsia" w:ascii="方正仿宋_GBK" w:hAnsi="方正仿宋_GBK" w:eastAsia="方正仿宋_GBK" w:cs="方正仿宋_GBK"/>
          <w:sz w:val="32"/>
          <w:szCs w:val="32"/>
        </w:rPr>
        <w:t>公务接待费0.5</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hd w:val="clear" w:color="auto" w:fill="FFFFFF"/>
        </w:rPr>
        <w:t>，与上年预算下降</w:t>
      </w:r>
      <w:r>
        <w:rPr>
          <w:rFonts w:hint="eastAsia" w:ascii="方正仿宋_GBK" w:hAnsi="方正仿宋_GBK" w:eastAsia="方正仿宋_GBK" w:cs="方正仿宋_GBK"/>
          <w:sz w:val="32"/>
          <w:szCs w:val="32"/>
        </w:rPr>
        <w:t>6</w:t>
      </w:r>
      <w:r>
        <w:rPr>
          <w:rFonts w:hint="eastAsia" w:ascii="方正仿宋_GBK" w:hAnsi="方正仿宋_GBK" w:eastAsia="方正仿宋_GBK" w:cs="方正仿宋_GBK"/>
          <w:sz w:val="32"/>
          <w:shd w:val="clear" w:color="auto" w:fill="FFFFFF"/>
        </w:rPr>
        <w:t>%，</w:t>
      </w:r>
      <w:r>
        <w:rPr>
          <w:rFonts w:hint="eastAsia" w:ascii="方正仿宋_GBK" w:hAnsi="方正仿宋_GBK" w:eastAsia="方正仿宋_GBK" w:cs="方正仿宋_GBK"/>
          <w:sz w:val="32"/>
        </w:rPr>
        <w:t>下降的</w:t>
      </w:r>
      <w:r>
        <w:rPr>
          <w:rFonts w:hint="eastAsia" w:ascii="方正仿宋_GBK" w:hAnsi="方正仿宋_GBK" w:eastAsia="方正仿宋_GBK" w:cs="方正仿宋_GBK"/>
          <w:sz w:val="32"/>
          <w:shd w:val="clear" w:color="auto" w:fill="FFFFFF"/>
        </w:rPr>
        <w:t>主要原因</w:t>
      </w:r>
      <w:r>
        <w:rPr>
          <w:rFonts w:hint="eastAsia" w:ascii="方正仿宋_GBK" w:hAnsi="方正仿宋_GBK" w:eastAsia="方正仿宋_GBK" w:cs="方正仿宋_GBK"/>
          <w:sz w:val="32"/>
          <w:shd w:val="clear" w:color="auto" w:fill="FFFFFF"/>
          <w:lang w:eastAsia="zh-CN"/>
        </w:rPr>
        <w:t>：</w:t>
      </w:r>
      <w:r>
        <w:rPr>
          <w:rFonts w:hint="eastAsia" w:ascii="方正仿宋_GBK" w:hAnsi="方正仿宋_GBK" w:eastAsia="方正仿宋_GBK" w:cs="方正仿宋_GBK"/>
          <w:sz w:val="32"/>
          <w:shd w:val="clear" w:color="auto" w:fill="FFFFFF"/>
          <w:lang w:val="en-US" w:eastAsia="zh-CN"/>
        </w:rPr>
        <w:t>继续严格贯彻落实中央、市委市政府厉行节约的规定，加强管理，严格控制公务接待规模和标准</w:t>
      </w:r>
      <w:r>
        <w:rPr>
          <w:rFonts w:hint="eastAsia" w:ascii="方正仿宋_GBK" w:hAnsi="方正仿宋_GBK" w:eastAsia="方正仿宋_GBK" w:cs="方正仿宋_GBK"/>
          <w:sz w:val="32"/>
          <w:shd w:val="clear" w:color="auto" w:fill="FFFFFF"/>
        </w:rPr>
        <w:t>。</w:t>
      </w:r>
    </w:p>
    <w:p>
      <w:pPr>
        <w:spacing w:line="600" w:lineRule="exact"/>
        <w:ind w:firstLine="640" w:firstLineChars="200"/>
        <w:rPr>
          <w:rFonts w:ascii="方正仿宋_GBK" w:hAnsi="方正仿宋_GBK" w:eastAsia="方正仿宋_GBK" w:cs="方正仿宋_GBK"/>
          <w:b/>
          <w:color w:val="FF0000"/>
          <w:kern w:val="0"/>
          <w:sz w:val="30"/>
          <w:szCs w:val="30"/>
        </w:rPr>
      </w:pPr>
      <w:r>
        <w:rPr>
          <w:rFonts w:hint="eastAsia" w:ascii="方正仿宋_GBK" w:hAnsi="方正仿宋_GBK" w:eastAsia="方正仿宋_GBK" w:cs="方正仿宋_GBK"/>
          <w:bCs/>
          <w:kern w:val="0"/>
          <w:sz w:val="32"/>
          <w:szCs w:val="32"/>
        </w:rPr>
        <w:t>（二）</w:t>
      </w:r>
      <w:r>
        <w:rPr>
          <w:rFonts w:hint="eastAsia" w:ascii="方正仿宋_GBK" w:hAnsi="方正仿宋_GBK" w:eastAsia="方正仿宋_GBK" w:cs="方正仿宋_GBK"/>
          <w:kern w:val="0"/>
          <w:sz w:val="32"/>
          <w:szCs w:val="32"/>
        </w:rPr>
        <w:t>我部门（单位）2021年无政府性基金预算“三公”经费支出。</w:t>
      </w:r>
    </w:p>
    <w:p>
      <w:pPr>
        <w:spacing w:line="600" w:lineRule="exact"/>
        <w:ind w:firstLine="640" w:firstLineChars="200"/>
        <w:rPr>
          <w:rFonts w:ascii="方正黑体_GBK" w:hAnsi="方正黑体_GBK" w:eastAsia="方正黑体_GBK" w:cs="方正黑体_GBK"/>
          <w:sz w:val="32"/>
          <w:shd w:val="clear" w:color="auto" w:fill="FFFFFF"/>
        </w:rPr>
      </w:pPr>
      <w:r>
        <w:rPr>
          <w:rFonts w:hint="eastAsia" w:ascii="方正黑体_GBK" w:hAnsi="方正黑体_GBK" w:eastAsia="方正黑体_GBK" w:cs="方正黑体_GBK"/>
          <w:sz w:val="32"/>
          <w:shd w:val="clear" w:color="auto" w:fill="FFFFFF"/>
        </w:rPr>
        <w:t>五、关于</w:t>
      </w:r>
      <w:r>
        <w:rPr>
          <w:rFonts w:hint="eastAsia" w:ascii="方正黑体_GBK" w:hAnsi="方正黑体_GBK" w:eastAsia="方正黑体_GBK" w:cs="方正黑体_GBK"/>
          <w:sz w:val="32"/>
          <w:szCs w:val="32"/>
        </w:rPr>
        <w:t>东方市图书馆2021</w:t>
      </w:r>
      <w:r>
        <w:rPr>
          <w:rFonts w:hint="eastAsia" w:ascii="方正黑体_GBK" w:hAnsi="方正黑体_GBK" w:eastAsia="方正黑体_GBK" w:cs="方正黑体_GBK"/>
          <w:sz w:val="32"/>
          <w:shd w:val="clear" w:color="auto" w:fill="FFFFFF"/>
        </w:rPr>
        <w:t>年政府性基金预算当年拨款情况说明</w:t>
      </w:r>
    </w:p>
    <w:p>
      <w:pPr>
        <w:spacing w:line="600" w:lineRule="exact"/>
        <w:ind w:firstLine="64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（一）政府性基金预算当年规模情况</w:t>
      </w:r>
    </w:p>
    <w:p>
      <w:pPr>
        <w:spacing w:line="600" w:lineRule="exact"/>
        <w:ind w:firstLine="640" w:firstLineChars="200"/>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东方市图书馆</w:t>
      </w:r>
      <w:r>
        <w:rPr>
          <w:rFonts w:hint="eastAsia" w:ascii="方正仿宋_GBK" w:hAnsi="方正仿宋_GBK" w:eastAsia="方正仿宋_GBK" w:cs="方正仿宋_GBK"/>
          <w:sz w:val="32"/>
          <w:szCs w:val="32"/>
        </w:rPr>
        <w:t>2021年政府性基金预算当年安排9万元。</w:t>
      </w:r>
    </w:p>
    <w:p>
      <w:pPr>
        <w:spacing w:line="600" w:lineRule="exact"/>
        <w:ind w:firstLine="64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（二）政府性基金预算当年拨款结构情况</w:t>
      </w:r>
    </w:p>
    <w:p>
      <w:pPr>
        <w:spacing w:line="600" w:lineRule="exact"/>
        <w:ind w:firstLine="800" w:firstLineChars="25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城乡社区支出（类）9万元，占100%.</w:t>
      </w:r>
    </w:p>
    <w:p>
      <w:pPr>
        <w:spacing w:line="600" w:lineRule="exact"/>
        <w:ind w:firstLine="64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（三）政府性基金预算当年拨款具体使用情况</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城乡社区支出（类）国有土地使用权出让收入安排的支出（款）其他国有土地使用权出让收入安排的支出（项）2021年预算数为9万元。</w:t>
      </w:r>
    </w:p>
    <w:p>
      <w:pPr>
        <w:spacing w:line="580" w:lineRule="exact"/>
        <w:ind w:firstLine="480" w:firstLineChars="150"/>
        <w:rPr>
          <w:rFonts w:ascii="黑体" w:hAnsi="黑体" w:eastAsia="黑体" w:cs="Times New Roman"/>
          <w:sz w:val="32"/>
          <w:shd w:val="clear" w:color="auto" w:fill="FFFFFF"/>
        </w:rPr>
      </w:pPr>
      <w:r>
        <w:rPr>
          <w:rFonts w:hint="eastAsia" w:ascii="方正黑体_GBK" w:hAnsi="方正黑体_GBK" w:eastAsia="方正黑体_GBK" w:cs="方正黑体_GBK"/>
          <w:sz w:val="32"/>
          <w:shd w:val="clear" w:color="auto" w:fill="FFFFFF"/>
        </w:rPr>
        <w:t>六、关于</w:t>
      </w:r>
      <w:r>
        <w:rPr>
          <w:rFonts w:hint="eastAsia" w:ascii="方正黑体_GBK" w:hAnsi="方正黑体_GBK" w:eastAsia="方正黑体_GBK" w:cs="方正黑体_GBK"/>
          <w:sz w:val="32"/>
          <w:szCs w:val="32"/>
        </w:rPr>
        <w:t>东方市图书馆2021</w:t>
      </w:r>
      <w:r>
        <w:rPr>
          <w:rFonts w:hint="eastAsia" w:ascii="方正黑体_GBK" w:hAnsi="方正黑体_GBK" w:eastAsia="方正黑体_GBK" w:cs="方正黑体_GBK"/>
          <w:sz w:val="32"/>
          <w:shd w:val="clear" w:color="auto" w:fill="FFFFFF"/>
        </w:rPr>
        <w:t>年收支预算情况的总体说明</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按照综合预算原则，</w:t>
      </w:r>
      <w:r>
        <w:rPr>
          <w:rFonts w:hint="eastAsia" w:ascii="方正黑体_GBK" w:hAnsi="方正黑体_GBK" w:eastAsia="方正黑体_GBK" w:cs="方正黑体_GBK"/>
          <w:sz w:val="32"/>
          <w:szCs w:val="32"/>
        </w:rPr>
        <w:t>东方市图书馆</w:t>
      </w:r>
      <w:r>
        <w:rPr>
          <w:rFonts w:hint="eastAsia" w:ascii="方正仿宋_GBK" w:hAnsi="方正仿宋_GBK" w:eastAsia="方正仿宋_GBK" w:cs="方正仿宋_GBK"/>
          <w:sz w:val="32"/>
          <w:szCs w:val="32"/>
        </w:rPr>
        <w:t>所有收入和支出均纳入部门预算管理。收入包括：一般公共预算收入、政府性基金收入；支出包括：文化旅游体育与传媒支出、社会保障就业支出、卫生健康支出、城乡社区支出、住房保障支出。</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东方市图书馆2021年收支总预算94.66万元。</w:t>
      </w:r>
    </w:p>
    <w:p>
      <w:pPr>
        <w:spacing w:line="580" w:lineRule="exact"/>
        <w:ind w:firstLine="640" w:firstLineChars="200"/>
        <w:rPr>
          <w:rFonts w:ascii="方正黑体_GBK" w:hAnsi="方正黑体_GBK" w:eastAsia="方正黑体_GBK" w:cs="方正黑体_GBK"/>
          <w:sz w:val="32"/>
          <w:shd w:val="clear" w:color="auto" w:fill="FFFFFF"/>
        </w:rPr>
      </w:pPr>
      <w:r>
        <w:rPr>
          <w:rFonts w:hint="eastAsia" w:ascii="方正黑体_GBK" w:hAnsi="方正黑体_GBK" w:eastAsia="方正黑体_GBK" w:cs="方正黑体_GBK"/>
          <w:sz w:val="32"/>
          <w:shd w:val="clear" w:color="auto" w:fill="FFFFFF"/>
        </w:rPr>
        <w:t>七、关于</w:t>
      </w:r>
      <w:r>
        <w:rPr>
          <w:rFonts w:hint="eastAsia" w:ascii="方正黑体_GBK" w:hAnsi="方正黑体_GBK" w:eastAsia="方正黑体_GBK" w:cs="方正黑体_GBK"/>
          <w:sz w:val="32"/>
          <w:szCs w:val="32"/>
        </w:rPr>
        <w:t>东方市图书馆2021</w:t>
      </w:r>
      <w:r>
        <w:rPr>
          <w:rFonts w:hint="eastAsia" w:ascii="方正黑体_GBK" w:hAnsi="方正黑体_GBK" w:eastAsia="方正黑体_GBK" w:cs="方正黑体_GBK"/>
          <w:sz w:val="32"/>
          <w:shd w:val="clear" w:color="auto" w:fill="FFFFFF"/>
        </w:rPr>
        <w:t>年收入预算情况说明</w:t>
      </w:r>
    </w:p>
    <w:p>
      <w:pPr>
        <w:spacing w:line="580" w:lineRule="exact"/>
        <w:ind w:firstLine="640" w:firstLineChars="200"/>
        <w:rPr>
          <w:rFonts w:ascii="Trebuchet MS" w:hAnsi="Trebuchet MS" w:eastAsia="仿宋_GB2312" w:cs="仿宋_GB2312"/>
          <w:b/>
          <w:kern w:val="0"/>
          <w:sz w:val="32"/>
          <w:szCs w:val="32"/>
        </w:rPr>
      </w:pPr>
      <w:r>
        <w:rPr>
          <w:rFonts w:hint="eastAsia" w:ascii="方正黑体_GBK" w:hAnsi="方正黑体_GBK" w:eastAsia="方正黑体_GBK" w:cs="方正黑体_GBK"/>
          <w:sz w:val="32"/>
          <w:szCs w:val="32"/>
        </w:rPr>
        <w:t>东方市图书馆</w:t>
      </w:r>
      <w:r>
        <w:rPr>
          <w:rFonts w:hint="eastAsia" w:ascii="方正仿宋_GBK" w:hAnsi="方正仿宋_GBK" w:eastAsia="方正仿宋_GBK" w:cs="方正仿宋_GBK"/>
          <w:sz w:val="32"/>
          <w:szCs w:val="32"/>
        </w:rPr>
        <w:t>2021年收入预算94.66万元，其中：一般公共预算收入85.08万元，占90%；政府性基金收入9万元，占9.4%；上年结余结转收入0.58万元，占0.6%；比上年年初预算增加19.2万元，主要是一般公共预算增加20.62万元，政府性基金收入减少2万元。</w:t>
      </w:r>
    </w:p>
    <w:p>
      <w:pPr>
        <w:spacing w:line="580" w:lineRule="exact"/>
        <w:ind w:firstLine="640" w:firstLineChars="200"/>
        <w:rPr>
          <w:rFonts w:ascii="黑体" w:hAnsi="黑体" w:eastAsia="黑体" w:cs="Times New Roman"/>
          <w:color w:val="auto"/>
          <w:sz w:val="32"/>
          <w:shd w:val="clear" w:color="auto" w:fill="FFFFFF"/>
        </w:rPr>
      </w:pPr>
      <w:r>
        <w:rPr>
          <w:rFonts w:hint="eastAsia" w:ascii="方正黑体_GBK" w:hAnsi="方正黑体_GBK" w:eastAsia="方正黑体_GBK" w:cs="方正黑体_GBK"/>
          <w:color w:val="auto"/>
          <w:sz w:val="32"/>
          <w:shd w:val="clear" w:color="auto" w:fill="FFFFFF"/>
        </w:rPr>
        <w:t>八、关于</w:t>
      </w:r>
      <w:r>
        <w:rPr>
          <w:rFonts w:hint="eastAsia" w:ascii="方正黑体_GBK" w:hAnsi="方正黑体_GBK" w:eastAsia="方正黑体_GBK" w:cs="方正黑体_GBK"/>
          <w:color w:val="auto"/>
          <w:sz w:val="32"/>
          <w:szCs w:val="32"/>
        </w:rPr>
        <w:t>东方市图书馆2021</w:t>
      </w:r>
      <w:r>
        <w:rPr>
          <w:rFonts w:hint="eastAsia" w:ascii="方正黑体_GBK" w:hAnsi="方正黑体_GBK" w:eastAsia="方正黑体_GBK" w:cs="方正黑体_GBK"/>
          <w:color w:val="auto"/>
          <w:sz w:val="32"/>
          <w:shd w:val="clear" w:color="auto" w:fill="FFFFFF"/>
        </w:rPr>
        <w:t>年支出预算情况说明</w:t>
      </w:r>
    </w:p>
    <w:p>
      <w:pPr>
        <w:spacing w:line="580" w:lineRule="exact"/>
        <w:ind w:firstLine="640" w:firstLineChars="200"/>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东方市图书馆</w:t>
      </w:r>
      <w:r>
        <w:rPr>
          <w:rFonts w:hint="eastAsia" w:ascii="方正仿宋_GBK" w:hAnsi="方正仿宋_GBK" w:eastAsia="方正仿宋_GBK" w:cs="方正仿宋_GBK"/>
          <w:sz w:val="32"/>
          <w:szCs w:val="32"/>
        </w:rPr>
        <w:t>2021年支出预算94.66万元，其中：基本支出65.78万元，占69%；项目支出28.88万元，占31%。比上年年初预算增加19.2万元，主要是2021年开始将上年结余资金纳入部门预算编报，基本支出增加19.52万元，项目支出减少2万元。</w:t>
      </w:r>
    </w:p>
    <w:p>
      <w:pPr>
        <w:spacing w:line="600" w:lineRule="exact"/>
        <w:ind w:firstLine="480" w:firstLineChars="150"/>
        <w:rPr>
          <w:rFonts w:ascii="黑体" w:hAnsi="黑体" w:eastAsia="黑体" w:cs="Times New Roman"/>
          <w:sz w:val="32"/>
          <w:shd w:val="clear" w:color="auto" w:fill="FFFFFF"/>
        </w:rPr>
      </w:pPr>
      <w:r>
        <w:rPr>
          <w:rFonts w:hint="eastAsia" w:ascii="方正黑体_GBK" w:hAnsi="方正黑体_GBK" w:eastAsia="方正黑体_GBK" w:cs="方正黑体_GBK"/>
          <w:sz w:val="32"/>
          <w:shd w:val="clear" w:color="auto" w:fill="FFFFFF"/>
        </w:rPr>
        <w:t>九、其他重要事项的情况说明</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（一）机关运行经费</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2021年</w:t>
      </w:r>
      <w:r>
        <w:rPr>
          <w:rFonts w:hint="eastAsia" w:ascii="方正黑体_GBK" w:hAnsi="方正黑体_GBK" w:eastAsia="方正黑体_GBK" w:cs="方正黑体_GBK"/>
          <w:sz w:val="32"/>
          <w:szCs w:val="32"/>
        </w:rPr>
        <w:t>东方市图书馆</w:t>
      </w:r>
      <w:r>
        <w:rPr>
          <w:rFonts w:hint="eastAsia" w:ascii="方正仿宋_GBK" w:hAnsi="方正仿宋_GBK" w:eastAsia="方正仿宋_GBK" w:cs="方正仿宋_GBK"/>
          <w:sz w:val="32"/>
          <w:szCs w:val="32"/>
        </w:rPr>
        <w:t>本级的机关运行经费预算</w:t>
      </w:r>
      <w:r>
        <w:rPr>
          <w:rFonts w:hint="eastAsia" w:ascii="方正仿宋_GBK" w:hAnsi="方正仿宋_GBK" w:eastAsia="方正仿宋_GBK" w:cs="方正仿宋_GBK"/>
          <w:sz w:val="32"/>
          <w:szCs w:val="32"/>
          <w:lang w:val="en-US" w:eastAsia="zh-CN"/>
        </w:rPr>
        <w:t>20.41</w:t>
      </w:r>
      <w:r>
        <w:rPr>
          <w:rFonts w:hint="eastAsia" w:ascii="方正仿宋_GBK" w:hAnsi="方正仿宋_GBK" w:eastAsia="方正仿宋_GBK" w:cs="方正仿宋_GBK"/>
          <w:sz w:val="32"/>
          <w:szCs w:val="32"/>
        </w:rPr>
        <w:t>万元。</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（二）政府采购情况</w:t>
      </w:r>
    </w:p>
    <w:p>
      <w:pPr>
        <w:spacing w:line="60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2021年</w:t>
      </w:r>
      <w:r>
        <w:rPr>
          <w:rFonts w:hint="eastAsia" w:ascii="方正黑体_GBK" w:hAnsi="方正黑体_GBK" w:eastAsia="方正黑体_GBK" w:cs="方正黑体_GBK"/>
          <w:sz w:val="32"/>
          <w:szCs w:val="32"/>
        </w:rPr>
        <w:t>东方市图书馆</w:t>
      </w:r>
      <w:r>
        <w:rPr>
          <w:rFonts w:hint="eastAsia" w:ascii="方正仿宋_GBK" w:hAnsi="方正仿宋_GBK" w:eastAsia="方正仿宋_GBK" w:cs="方正仿宋_GBK"/>
          <w:sz w:val="32"/>
          <w:szCs w:val="32"/>
        </w:rPr>
        <w:t>政府采购预算总额</w:t>
      </w:r>
      <w:r>
        <w:rPr>
          <w:rFonts w:hint="eastAsia" w:ascii="方正仿宋_GBK" w:hAnsi="方正仿宋_GBK" w:eastAsia="方正仿宋_GBK" w:cs="方正仿宋_GBK"/>
          <w:sz w:val="32"/>
          <w:szCs w:val="32"/>
          <w:lang w:val="en-US" w:eastAsia="zh-CN"/>
        </w:rPr>
        <w:t>19.3</w:t>
      </w:r>
      <w:r>
        <w:rPr>
          <w:rFonts w:hint="eastAsia" w:ascii="方正仿宋_GBK" w:hAnsi="方正仿宋_GBK" w:eastAsia="方正仿宋_GBK" w:cs="方正仿宋_GBK"/>
          <w:sz w:val="32"/>
          <w:szCs w:val="32"/>
        </w:rPr>
        <w:t>万元，其中：政府采购货物预算</w:t>
      </w:r>
      <w:r>
        <w:rPr>
          <w:rFonts w:hint="eastAsia" w:ascii="方正仿宋_GBK" w:hAnsi="方正仿宋_GBK" w:eastAsia="方正仿宋_GBK" w:cs="方正仿宋_GBK"/>
          <w:sz w:val="32"/>
          <w:szCs w:val="32"/>
          <w:lang w:val="en-US" w:eastAsia="zh-CN"/>
        </w:rPr>
        <w:t>19.3</w:t>
      </w:r>
      <w:r>
        <w:rPr>
          <w:rFonts w:hint="eastAsia" w:ascii="方正仿宋_GBK" w:hAnsi="方正仿宋_GBK" w:eastAsia="方正仿宋_GBK" w:cs="方正仿宋_GBK"/>
          <w:sz w:val="32"/>
          <w:szCs w:val="32"/>
        </w:rPr>
        <w:t>万元，政府采购工程预算</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万元，政府购买服务预算</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万元。</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（三）国有资产占有使用情况</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截至2020年12月31日，</w:t>
      </w:r>
      <w:r>
        <w:rPr>
          <w:rFonts w:hint="eastAsia" w:ascii="方正黑体_GBK" w:hAnsi="方正黑体_GBK" w:eastAsia="方正黑体_GBK" w:cs="方正黑体_GBK"/>
          <w:sz w:val="32"/>
          <w:szCs w:val="32"/>
        </w:rPr>
        <w:t>东方市图书馆</w:t>
      </w:r>
      <w:r>
        <w:rPr>
          <w:rFonts w:hint="eastAsia" w:ascii="方正仿宋_GBK" w:hAnsi="方正仿宋_GBK" w:eastAsia="方正仿宋_GBK" w:cs="方正仿宋_GBK"/>
          <w:sz w:val="32"/>
          <w:szCs w:val="32"/>
        </w:rPr>
        <w:t>本级及下属各预算单位共有车辆</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辆，其中，领导干部用车</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辆，机要通信应急用车</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辆、一般执法执勤用车</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辆、特种专业技术用车</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辆、其他用车</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辆。</w:t>
      </w:r>
    </w:p>
    <w:p>
      <w:pPr>
        <w:pStyle w:val="7"/>
        <w:widowControl/>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单位价值20万元以上设备</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台（套）。</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（四）绩效目标设置情况</w:t>
      </w:r>
    </w:p>
    <w:p>
      <w:pPr>
        <w:spacing w:line="600" w:lineRule="exact"/>
        <w:ind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2021年</w:t>
      </w:r>
      <w:r>
        <w:rPr>
          <w:rFonts w:hint="eastAsia" w:ascii="方正黑体_GBK" w:hAnsi="方正黑体_GBK" w:eastAsia="方正黑体_GBK" w:cs="方正黑体_GBK"/>
          <w:sz w:val="32"/>
          <w:szCs w:val="32"/>
        </w:rPr>
        <w:t>东方市图书馆</w:t>
      </w:r>
      <w:r>
        <w:rPr>
          <w:rFonts w:hint="eastAsia" w:ascii="方正仿宋_GBK" w:hAnsi="方正仿宋_GBK" w:eastAsia="方正仿宋_GBK" w:cs="方正仿宋_GBK"/>
          <w:sz w:val="32"/>
          <w:szCs w:val="32"/>
        </w:rPr>
        <w:t>17个项目实行绩效目标管理，涉及一般公共预算</w:t>
      </w:r>
      <w:r>
        <w:rPr>
          <w:rFonts w:hint="eastAsia" w:ascii="方正仿宋_GBK" w:hAnsi="方正仿宋_GBK" w:eastAsia="方正仿宋_GBK" w:cs="方正仿宋_GBK"/>
          <w:sz w:val="32"/>
          <w:szCs w:val="32"/>
          <w:lang w:val="en-US" w:eastAsia="zh-CN"/>
        </w:rPr>
        <w:t>85.08</w:t>
      </w:r>
      <w:r>
        <w:rPr>
          <w:rFonts w:hint="eastAsia" w:ascii="方正仿宋_GBK" w:hAnsi="方正仿宋_GBK" w:eastAsia="方正仿宋_GBK" w:cs="方正仿宋_GBK"/>
          <w:sz w:val="32"/>
          <w:szCs w:val="32"/>
        </w:rPr>
        <w:t>万元、政府性基金</w:t>
      </w: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单位资金0.58万元。</w:t>
      </w:r>
    </w:p>
    <w:p>
      <w:pPr>
        <w:spacing w:line="600" w:lineRule="exact"/>
        <w:jc w:val="center"/>
        <w:rPr>
          <w:rFonts w:ascii="方正黑体_GBK" w:hAnsi="方正黑体_GBK" w:eastAsia="方正黑体_GBK" w:cs="方正黑体_GBK"/>
          <w:b/>
          <w:sz w:val="32"/>
          <w:szCs w:val="32"/>
        </w:rPr>
      </w:pPr>
      <w:r>
        <w:rPr>
          <w:rFonts w:hint="eastAsia" w:ascii="方正黑体_GBK" w:hAnsi="方正黑体_GBK" w:eastAsia="方正黑体_GBK" w:cs="方正黑体_GBK"/>
          <w:b/>
          <w:sz w:val="32"/>
          <w:szCs w:val="32"/>
        </w:rPr>
        <w:t>第四部分  名词解释</w:t>
      </w:r>
    </w:p>
    <w:p>
      <w:pPr>
        <w:autoSpaceDE w:val="0"/>
        <w:autoSpaceDN w:val="0"/>
        <w:adjustRightInd w:val="0"/>
        <w:spacing w:line="600" w:lineRule="exact"/>
        <w:ind w:firstLine="640" w:firstLineChars="200"/>
        <w:jc w:val="left"/>
        <w:rPr>
          <w:rFonts w:ascii="方正仿宋_GBK" w:hAnsi="方正仿宋_GBK" w:eastAsia="方正仿宋_GBK" w:cs="方正仿宋_GBK"/>
          <w:bCs/>
          <w:color w:val="000000"/>
          <w:kern w:val="0"/>
          <w:sz w:val="32"/>
          <w:szCs w:val="32"/>
          <w:lang w:val="zh-CN"/>
        </w:rPr>
      </w:pPr>
      <w:r>
        <w:rPr>
          <w:rFonts w:hint="eastAsia" w:ascii="方正仿宋_GBK" w:hAnsi="方正仿宋_GBK" w:eastAsia="方正仿宋_GBK" w:cs="方正仿宋_GBK"/>
          <w:color w:val="000000"/>
          <w:kern w:val="0"/>
          <w:sz w:val="32"/>
          <w:szCs w:val="32"/>
        </w:rPr>
        <w:t>一、一般公共预算收入：</w:t>
      </w:r>
      <w:r>
        <w:rPr>
          <w:rFonts w:hint="eastAsia" w:ascii="方正仿宋_GBK" w:hAnsi="方正仿宋_GBK" w:eastAsia="方正仿宋_GBK" w:cs="方正仿宋_GBK"/>
          <w:bCs/>
          <w:color w:val="000000"/>
          <w:kern w:val="0"/>
          <w:sz w:val="32"/>
          <w:szCs w:val="32"/>
          <w:lang w:val="zh-CN"/>
        </w:rPr>
        <w:t>指用于反映税收收入、专项收入、行政事业性收费收入、罚没收入、国有资源（资产）有偿使用收入、政府住房基金收入、捐赠收入等财政收入。</w:t>
      </w:r>
    </w:p>
    <w:p>
      <w:pPr>
        <w:spacing w:line="600" w:lineRule="exact"/>
        <w:ind w:firstLine="640" w:firstLineChars="20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二、政府性基金收入：</w:t>
      </w:r>
      <w:r>
        <w:rPr>
          <w:rFonts w:hint="eastAsia" w:ascii="方正仿宋_GBK" w:hAnsi="方正仿宋_GBK" w:eastAsia="方正仿宋_GBK" w:cs="方正仿宋_GBK"/>
          <w:bCs/>
          <w:color w:val="000000"/>
          <w:kern w:val="0"/>
          <w:sz w:val="32"/>
          <w:szCs w:val="32"/>
          <w:lang w:val="zh-CN"/>
        </w:rPr>
        <w:t>指是用于反映政府为支持某项事业发展或特定基础设施建设，依法依规向公民、法人和其他组织征收的以及出让土地、发行彩票等方式取得的具有专门用途的资金。</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rPr>
        <w:t>三、</w:t>
      </w:r>
      <w:r>
        <w:rPr>
          <w:rFonts w:hint="eastAsia" w:ascii="方正仿宋_GBK" w:hAnsi="方正仿宋_GBK" w:eastAsia="方正仿宋_GBK" w:cs="方正仿宋_GBK"/>
          <w:sz w:val="32"/>
          <w:szCs w:val="32"/>
        </w:rPr>
        <w:t>财政专户管理资金收入：财政专户管理资金收入是指缴入财政专户、实行专项管理的费用。如：高中以上学费、住宿费、高校委托培养费、函大、电大、夜大及短训班培训费等教育收费。</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四、上级补助收入：上级补助收入是指从主管部门或上级单位取得的财政拨款以外的其他补助收入。</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附属单位上缴收入：附属单位上缴收入是指本单位所属下级单位上缴给本单位的全部收入（包括下级事业单位上缴的事业收入、其他收入和下级企业单位上缴的利润等）。下级单位既包括独立核算的单位也包括非独立核算的单位；既包括纳入部门预算编报范围的单位，也包括未纳入部门预算编报范围的单位。</w:t>
      </w:r>
    </w:p>
    <w:p>
      <w:pPr>
        <w:spacing w:line="600" w:lineRule="exact"/>
        <w:ind w:firstLine="640" w:firstLineChars="20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六、其他财政资金收入：</w:t>
      </w:r>
      <w:r>
        <w:rPr>
          <w:rFonts w:hint="eastAsia" w:ascii="方正仿宋_GBK" w:hAnsi="方正仿宋_GBK" w:eastAsia="方正仿宋_GBK" w:cs="方正仿宋_GBK"/>
          <w:bCs/>
          <w:color w:val="000000"/>
          <w:kern w:val="0"/>
          <w:sz w:val="32"/>
          <w:szCs w:val="32"/>
          <w:lang w:val="zh-CN"/>
        </w:rPr>
        <w:t>指用于反映政府为履行职责，依法依规收取、提取和安排使用的未纳入预算管理的除教育收费以外的各种财政性资金。</w:t>
      </w:r>
      <w:r>
        <w:rPr>
          <w:rFonts w:hint="eastAsia" w:ascii="方正仿宋_GBK" w:hAnsi="方正仿宋_GBK" w:eastAsia="方正仿宋_GBK" w:cs="方正仿宋_GBK"/>
          <w:color w:val="000000"/>
          <w:kern w:val="0"/>
          <w:sz w:val="32"/>
          <w:szCs w:val="32"/>
        </w:rPr>
        <w:t xml:space="preserve"> </w:t>
      </w:r>
    </w:p>
    <w:p>
      <w:pPr>
        <w:spacing w:line="600" w:lineRule="exact"/>
        <w:ind w:firstLine="640" w:firstLineChars="20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七、收回存量资金收入：</w:t>
      </w:r>
      <w:r>
        <w:rPr>
          <w:rFonts w:hint="eastAsia" w:ascii="方正仿宋_GBK" w:hAnsi="方正仿宋_GBK" w:eastAsia="方正仿宋_GBK" w:cs="方正仿宋_GBK"/>
          <w:bCs/>
          <w:color w:val="000000"/>
          <w:kern w:val="0"/>
          <w:sz w:val="32"/>
          <w:szCs w:val="32"/>
          <w:lang w:val="zh-CN"/>
        </w:rPr>
        <w:t>指用于反映各级财政部门收回的上缴国库但不列入预算的存量资金，包括收回单位实有账户存量资金、收回国库集中支付结余资金、收回转移支付存量资金和收回财政专户存量资金。</w:t>
      </w:r>
      <w:r>
        <w:rPr>
          <w:rFonts w:hint="eastAsia" w:ascii="方正仿宋_GBK" w:hAnsi="方正仿宋_GBK" w:eastAsia="方正仿宋_GBK" w:cs="方正仿宋_GBK"/>
          <w:color w:val="000000"/>
          <w:kern w:val="0"/>
          <w:sz w:val="32"/>
          <w:szCs w:val="32"/>
          <w:lang w:val="zh-CN"/>
        </w:rPr>
        <w:t>。</w:t>
      </w:r>
      <w:r>
        <w:rPr>
          <w:rFonts w:hint="eastAsia" w:ascii="方正仿宋_GBK" w:hAnsi="方正仿宋_GBK" w:eastAsia="方正仿宋_GBK" w:cs="方正仿宋_GBK"/>
          <w:color w:val="000000"/>
          <w:kern w:val="0"/>
          <w:sz w:val="32"/>
          <w:szCs w:val="32"/>
        </w:rPr>
        <w:t xml:space="preserve"> </w:t>
      </w:r>
    </w:p>
    <w:p>
      <w:pPr>
        <w:spacing w:line="600" w:lineRule="exact"/>
        <w:ind w:firstLine="640" w:firstLineChars="20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八、事业收入：</w:t>
      </w:r>
      <w:r>
        <w:rPr>
          <w:rFonts w:hint="eastAsia" w:ascii="方正仿宋_GBK" w:hAnsi="方正仿宋_GBK" w:eastAsia="方正仿宋_GBK" w:cs="方正仿宋_GBK"/>
          <w:bCs/>
          <w:color w:val="000000"/>
          <w:kern w:val="0"/>
          <w:sz w:val="32"/>
          <w:szCs w:val="32"/>
          <w:lang w:val="zh-CN"/>
        </w:rPr>
        <w:t>指用于反映事业单位开展专业业务活动及辅助活动所取得的收入。</w:t>
      </w:r>
      <w:r>
        <w:rPr>
          <w:rFonts w:hint="eastAsia" w:ascii="方正仿宋_GBK" w:hAnsi="方正仿宋_GBK" w:eastAsia="方正仿宋_GBK" w:cs="方正仿宋_GBK"/>
          <w:color w:val="000000"/>
          <w:kern w:val="0"/>
          <w:sz w:val="32"/>
          <w:szCs w:val="32"/>
        </w:rPr>
        <w:t xml:space="preserve"> </w:t>
      </w:r>
    </w:p>
    <w:p>
      <w:pPr>
        <w:spacing w:line="600" w:lineRule="exact"/>
        <w:ind w:firstLine="640" w:firstLineChars="20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九、</w:t>
      </w:r>
      <w:r>
        <w:rPr>
          <w:rFonts w:hint="eastAsia" w:ascii="方正仿宋_GBK" w:hAnsi="方正仿宋_GBK" w:eastAsia="方正仿宋_GBK" w:cs="方正仿宋_GBK"/>
          <w:sz w:val="32"/>
          <w:szCs w:val="32"/>
        </w:rPr>
        <w:t>事业单位经营收入</w:t>
      </w:r>
      <w:r>
        <w:rPr>
          <w:rFonts w:hint="eastAsia" w:ascii="方正仿宋_GBK" w:hAnsi="方正仿宋_GBK" w:eastAsia="方正仿宋_GBK" w:cs="方正仿宋_GBK"/>
          <w:color w:val="000000"/>
          <w:kern w:val="0"/>
          <w:sz w:val="32"/>
          <w:szCs w:val="32"/>
        </w:rPr>
        <w:t>：</w:t>
      </w:r>
      <w:r>
        <w:rPr>
          <w:rFonts w:hint="eastAsia" w:ascii="方正仿宋_GBK" w:hAnsi="方正仿宋_GBK" w:eastAsia="方正仿宋_GBK" w:cs="方正仿宋_GBK"/>
          <w:bCs/>
          <w:color w:val="000000"/>
          <w:kern w:val="0"/>
          <w:sz w:val="32"/>
          <w:szCs w:val="32"/>
          <w:lang w:val="zh-CN"/>
        </w:rPr>
        <w:t>指用于反映事业单位在专业活动及辅助活动之外开展非独立核算经营活动取得的收入。</w:t>
      </w:r>
    </w:p>
    <w:p>
      <w:pPr>
        <w:spacing w:line="600" w:lineRule="exact"/>
        <w:ind w:firstLine="640" w:firstLineChars="20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十、其他收入：</w:t>
      </w:r>
      <w:r>
        <w:rPr>
          <w:rFonts w:hint="eastAsia" w:ascii="方正仿宋_GBK" w:hAnsi="方正仿宋_GBK" w:eastAsia="方正仿宋_GBK" w:cs="方正仿宋_GBK"/>
          <w:bCs/>
          <w:color w:val="000000"/>
          <w:kern w:val="0"/>
          <w:sz w:val="32"/>
          <w:szCs w:val="32"/>
          <w:lang w:val="zh-CN"/>
        </w:rPr>
        <w:t>指用于反映除上述一般公共预算收入、政府性基金收入、</w:t>
      </w:r>
      <w:r>
        <w:rPr>
          <w:rFonts w:hint="eastAsia" w:ascii="方正仿宋_GBK" w:hAnsi="方正仿宋_GBK" w:eastAsia="方正仿宋_GBK" w:cs="方正仿宋_GBK"/>
          <w:sz w:val="32"/>
          <w:szCs w:val="32"/>
        </w:rPr>
        <w:t>财政专户管理资金收入、上级补助收入、附属单位上缴收入、</w:t>
      </w:r>
      <w:r>
        <w:rPr>
          <w:rFonts w:hint="eastAsia" w:ascii="方正仿宋_GBK" w:hAnsi="方正仿宋_GBK" w:eastAsia="方正仿宋_GBK" w:cs="方正仿宋_GBK"/>
          <w:bCs/>
          <w:color w:val="000000"/>
          <w:kern w:val="0"/>
          <w:sz w:val="32"/>
          <w:szCs w:val="32"/>
          <w:lang w:val="zh-CN"/>
        </w:rPr>
        <w:t>其他财政性资金收入、收回存量资金收入、事业收入、事业单位经营收入和往来收入以外的收入。</w:t>
      </w:r>
    </w:p>
    <w:p>
      <w:pPr>
        <w:autoSpaceDE w:val="0"/>
        <w:autoSpaceDN w:val="0"/>
        <w:adjustRightInd w:val="0"/>
        <w:spacing w:line="600" w:lineRule="exact"/>
        <w:ind w:firstLine="640" w:firstLineChars="200"/>
        <w:jc w:val="left"/>
        <w:rPr>
          <w:rFonts w:ascii="方正仿宋_GBK" w:hAnsi="方正仿宋_GBK" w:eastAsia="方正仿宋_GBK" w:cs="方正仿宋_GBK"/>
          <w:bCs/>
          <w:color w:val="000000"/>
          <w:kern w:val="0"/>
          <w:sz w:val="32"/>
          <w:szCs w:val="32"/>
          <w:lang w:val="zh-CN"/>
        </w:rPr>
      </w:pPr>
      <w:r>
        <w:rPr>
          <w:rFonts w:hint="eastAsia" w:ascii="方正仿宋_GBK" w:hAnsi="方正仿宋_GBK" w:eastAsia="方正仿宋_GBK" w:cs="方正仿宋_GBK"/>
          <w:color w:val="000000"/>
          <w:kern w:val="0"/>
          <w:sz w:val="32"/>
          <w:szCs w:val="32"/>
        </w:rPr>
        <w:t>十一、</w:t>
      </w:r>
      <w:r>
        <w:rPr>
          <w:rFonts w:hint="eastAsia" w:ascii="方正仿宋_GBK" w:hAnsi="方正仿宋_GBK" w:eastAsia="方正仿宋_GBK" w:cs="方正仿宋_GBK"/>
          <w:sz w:val="32"/>
          <w:szCs w:val="32"/>
        </w:rPr>
        <w:t>用事业基金弥补收支差额</w:t>
      </w:r>
      <w:r>
        <w:rPr>
          <w:rFonts w:hint="eastAsia" w:ascii="方正仿宋_GBK" w:hAnsi="方正仿宋_GBK" w:eastAsia="方正仿宋_GBK" w:cs="方正仿宋_GBK"/>
          <w:color w:val="000000"/>
          <w:kern w:val="0"/>
          <w:sz w:val="32"/>
          <w:szCs w:val="32"/>
        </w:rPr>
        <w:t>：</w:t>
      </w:r>
      <w:r>
        <w:rPr>
          <w:rFonts w:hint="eastAsia" w:ascii="方正仿宋_GBK" w:hAnsi="方正仿宋_GBK" w:eastAsia="方正仿宋_GBK" w:cs="方正仿宋_GBK"/>
          <w:bCs/>
          <w:color w:val="000000"/>
          <w:kern w:val="0"/>
          <w:sz w:val="32"/>
          <w:szCs w:val="32"/>
          <w:lang w:val="zh-CN"/>
        </w:rPr>
        <w:t>指用于反映事业单位在预计当年“一般公共预算收入”、“政府性基金”、“教育收费收入”、“其他财政性资金收入”、“收回存量资金收入”、“单位自有资金收入”收入不足安排支出的情况下，使用以前年度积累的事业基金（事业单位当年收入和支出相抵后按国家规定提取，用于弥补以后年度收支差额的基金）弥补本年度收支缺口的资金。</w:t>
      </w:r>
    </w:p>
    <w:p>
      <w:pPr>
        <w:autoSpaceDE w:val="0"/>
        <w:autoSpaceDN w:val="0"/>
        <w:adjustRightInd w:val="0"/>
        <w:spacing w:line="600" w:lineRule="exact"/>
        <w:ind w:firstLine="640" w:firstLineChars="200"/>
        <w:jc w:val="left"/>
        <w:rPr>
          <w:rFonts w:ascii="方正仿宋_GBK" w:hAnsi="方正仿宋_GBK" w:eastAsia="方正仿宋_GBK" w:cs="方正仿宋_GBK"/>
          <w:bCs/>
          <w:color w:val="000000"/>
          <w:kern w:val="0"/>
          <w:sz w:val="32"/>
          <w:szCs w:val="32"/>
          <w:lang w:val="zh-CN"/>
        </w:rPr>
      </w:pPr>
      <w:r>
        <w:rPr>
          <w:rFonts w:hint="eastAsia" w:ascii="方正仿宋_GBK" w:hAnsi="方正仿宋_GBK" w:eastAsia="方正仿宋_GBK" w:cs="方正仿宋_GBK"/>
          <w:color w:val="000000"/>
          <w:kern w:val="0"/>
          <w:sz w:val="32"/>
          <w:szCs w:val="32"/>
        </w:rPr>
        <w:t>十二、</w:t>
      </w:r>
      <w:r>
        <w:rPr>
          <w:rFonts w:hint="eastAsia" w:ascii="方正仿宋_GBK" w:hAnsi="方正仿宋_GBK" w:eastAsia="方正仿宋_GBK" w:cs="方正仿宋_GBK"/>
          <w:sz w:val="32"/>
          <w:szCs w:val="32"/>
        </w:rPr>
        <w:t>上年结转结余收入</w:t>
      </w:r>
      <w:r>
        <w:rPr>
          <w:rFonts w:hint="eastAsia" w:ascii="方正仿宋_GBK" w:hAnsi="方正仿宋_GBK" w:eastAsia="方正仿宋_GBK" w:cs="方正仿宋_GBK"/>
          <w:color w:val="000000"/>
          <w:kern w:val="0"/>
          <w:sz w:val="32"/>
          <w:szCs w:val="32"/>
        </w:rPr>
        <w:t>：</w:t>
      </w:r>
      <w:r>
        <w:rPr>
          <w:rFonts w:hint="eastAsia" w:ascii="方正仿宋_GBK" w:hAnsi="方正仿宋_GBK" w:eastAsia="方正仿宋_GBK" w:cs="方正仿宋_GBK"/>
          <w:bCs/>
          <w:color w:val="000000"/>
          <w:kern w:val="0"/>
          <w:sz w:val="32"/>
          <w:szCs w:val="32"/>
          <w:lang w:val="zh-CN"/>
        </w:rPr>
        <w:t>指用于反映以前年度尚未完成、结转到本年仍按规定用途继续使用的资金等。</w:t>
      </w:r>
    </w:p>
    <w:p>
      <w:pPr>
        <w:spacing w:line="600" w:lineRule="exact"/>
        <w:ind w:firstLine="640" w:firstLineChars="20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十三、基本支出：指行政事业单位用于为保障其机构正常运转、完成日常工作任务而发生的人员支出和公用支出。</w:t>
      </w:r>
    </w:p>
    <w:p>
      <w:pPr>
        <w:spacing w:line="600" w:lineRule="exact"/>
        <w:ind w:firstLine="640" w:firstLineChars="20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十四、项目支出：指在基本支出之外为完成特定的行政工作任务或事业发展目标所发生的支出。</w:t>
      </w:r>
    </w:p>
    <w:p>
      <w:pPr>
        <w:spacing w:line="600" w:lineRule="exact"/>
        <w:ind w:firstLine="640" w:firstLineChars="20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sz w:val="32"/>
          <w:szCs w:val="32"/>
        </w:rPr>
        <w:t>十</w:t>
      </w:r>
      <w:r>
        <w:rPr>
          <w:rFonts w:hint="eastAsia" w:ascii="方正仿宋_GBK" w:hAnsi="方正仿宋_GBK" w:eastAsia="方正仿宋_GBK" w:cs="方正仿宋_GBK"/>
          <w:color w:val="000000"/>
          <w:kern w:val="0"/>
          <w:sz w:val="32"/>
          <w:szCs w:val="32"/>
        </w:rPr>
        <w:t>五、“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spacing w:line="600" w:lineRule="exact"/>
        <w:ind w:firstLine="640" w:firstLineChars="200"/>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十六、机关运行经费：包括办公及印刷费、邮电费、差旅费、会议费、福利费、日常维修费、专用材料及一般设备购置费、办公用房水电费、办公用房取暖费、办公用房物业管理费、公务用车运行维护费以及其他费用。</w:t>
      </w:r>
    </w:p>
    <w:p>
      <w:pPr>
        <w:spacing w:line="600" w:lineRule="exact"/>
        <w:ind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十七、</w:t>
      </w:r>
      <w:r>
        <w:rPr>
          <w:rFonts w:hint="eastAsia" w:ascii="方正仿宋_GBK" w:hAnsi="方正仿宋_GBK" w:eastAsia="方正仿宋_GBK" w:cs="方正仿宋_GBK"/>
          <w:sz w:val="32"/>
          <w:szCs w:val="32"/>
        </w:rPr>
        <w:t xml:space="preserve"> 文化旅游体育与传媒支出（类）文化和旅游（款）图书馆（项）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指反映图书馆的支出。</w:t>
      </w:r>
    </w:p>
    <w:p>
      <w:pPr>
        <w:spacing w:line="60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十八、</w:t>
      </w:r>
      <w:r>
        <w:rPr>
          <w:rFonts w:hint="eastAsia" w:ascii="方正仿宋_GBK" w:hAnsi="方正仿宋_GBK" w:eastAsia="方正仿宋_GBK" w:cs="方正仿宋_GBK"/>
          <w:sz w:val="32"/>
          <w:szCs w:val="32"/>
        </w:rPr>
        <w:t xml:space="preserve"> 社会保障和就业支出（类）行政事业单位养老支出（款行政事业单位基本养老保险缴费支出（项）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指反映机关事业单位实施养老保险制度由单位缴纳的基本养老保险费支出。</w:t>
      </w:r>
    </w:p>
    <w:p>
      <w:pPr>
        <w:spacing w:line="60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十九、</w:t>
      </w:r>
      <w:r>
        <w:rPr>
          <w:rFonts w:hint="eastAsia" w:ascii="方正仿宋_GBK" w:hAnsi="方正仿宋_GBK" w:eastAsia="方正仿宋_GBK" w:cs="方正仿宋_GBK"/>
          <w:sz w:val="32"/>
          <w:szCs w:val="32"/>
        </w:rPr>
        <w:t xml:space="preserve"> 卫生健康支出（类）行政事业单位医疗（款）事业单位医疗（项）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指反映财政部门安排的事业单位基本医疗保险缴费经费，未参加医疗保险的事业单位的公费医疗经费，按国家规定享受离休人员待遇的医疗经费。</w:t>
      </w:r>
    </w:p>
    <w:p>
      <w:pPr>
        <w:spacing w:line="60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二十、</w:t>
      </w:r>
      <w:r>
        <w:rPr>
          <w:rFonts w:hint="eastAsia" w:ascii="方正仿宋_GBK" w:hAnsi="方正仿宋_GBK" w:eastAsia="方正仿宋_GBK" w:cs="方正仿宋_GBK"/>
          <w:sz w:val="32"/>
          <w:szCs w:val="32"/>
        </w:rPr>
        <w:t>卫生健康支出（类）行政事业单位医疗（款）公务员医疗补助（项）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指反映财政部门安排的公务员医疗补助经费。</w:t>
      </w:r>
    </w:p>
    <w:p>
      <w:pPr>
        <w:widowControl/>
        <w:spacing w:line="600" w:lineRule="exact"/>
        <w:ind w:firstLine="640" w:firstLineChars="200"/>
        <w:rPr>
          <w:rFonts w:hint="default"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二十一、城乡社区支出</w:t>
      </w:r>
      <w:r>
        <w:rPr>
          <w:rFonts w:hint="eastAsia" w:ascii="方正仿宋_GBK" w:hAnsi="方正仿宋_GBK" w:eastAsia="方正仿宋_GBK" w:cs="方正仿宋_GBK"/>
          <w:color w:val="000000"/>
          <w:kern w:val="0"/>
          <w:sz w:val="32"/>
          <w:szCs w:val="32"/>
        </w:rPr>
        <w:t>（类）</w:t>
      </w:r>
      <w:r>
        <w:rPr>
          <w:rFonts w:hint="eastAsia" w:ascii="方正仿宋_GBK" w:hAnsi="方正仿宋_GBK" w:eastAsia="方正仿宋_GBK" w:cs="方正仿宋_GBK"/>
          <w:color w:val="000000"/>
          <w:kern w:val="0"/>
          <w:sz w:val="32"/>
          <w:szCs w:val="32"/>
          <w:lang w:val="en-US" w:eastAsia="zh-CN"/>
        </w:rPr>
        <w:t>国有土地使用权出让收入安排的支出</w:t>
      </w:r>
      <w:r>
        <w:rPr>
          <w:rFonts w:hint="eastAsia" w:ascii="方正仿宋_GBK" w:hAnsi="方正仿宋_GBK" w:eastAsia="方正仿宋_GBK" w:cs="方正仿宋_GBK"/>
          <w:color w:val="000000"/>
          <w:kern w:val="0"/>
          <w:sz w:val="32"/>
          <w:szCs w:val="32"/>
        </w:rPr>
        <w:t>（款）</w:t>
      </w:r>
      <w:r>
        <w:rPr>
          <w:rFonts w:hint="eastAsia" w:ascii="方正仿宋_GBK" w:hAnsi="方正仿宋_GBK" w:eastAsia="方正仿宋_GBK" w:cs="方正仿宋_GBK"/>
          <w:color w:val="000000"/>
          <w:kern w:val="0"/>
          <w:sz w:val="32"/>
          <w:szCs w:val="32"/>
          <w:lang w:val="en-US" w:eastAsia="zh-CN"/>
        </w:rPr>
        <w:t>其他国有土地使用权出让收入安排的支出</w:t>
      </w:r>
      <w:r>
        <w:rPr>
          <w:rFonts w:hint="eastAsia" w:ascii="方正仿宋_GBK" w:hAnsi="方正仿宋_GBK" w:eastAsia="方正仿宋_GBK" w:cs="方正仿宋_GBK"/>
          <w:color w:val="000000"/>
          <w:kern w:val="0"/>
          <w:sz w:val="32"/>
          <w:szCs w:val="32"/>
        </w:rPr>
        <w:t>（项）：指</w:t>
      </w:r>
      <w:r>
        <w:rPr>
          <w:rFonts w:hint="eastAsia" w:ascii="方正仿宋_GBK" w:hAnsi="方正仿宋_GBK" w:eastAsia="方正仿宋_GBK" w:cs="方正仿宋_GBK"/>
          <w:color w:val="000000"/>
          <w:kern w:val="0"/>
          <w:sz w:val="32"/>
          <w:szCs w:val="32"/>
          <w:lang w:val="en-US" w:eastAsia="zh-CN"/>
        </w:rPr>
        <w:t>反映土地出让收入用于其他方面支出。不包括市县级政府当年按规定用土地出让收入向中央和省级政府缴纳的新增建设用土地有偿使用费的支出。</w:t>
      </w:r>
    </w:p>
    <w:p>
      <w:pPr>
        <w:spacing w:line="600" w:lineRule="exact"/>
        <w:ind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二十二、</w:t>
      </w:r>
      <w:r>
        <w:rPr>
          <w:rFonts w:hint="eastAsia" w:ascii="方正仿宋_GBK" w:hAnsi="方正仿宋_GBK" w:eastAsia="方正仿宋_GBK" w:cs="方正仿宋_GBK"/>
          <w:sz w:val="32"/>
          <w:szCs w:val="32"/>
        </w:rPr>
        <w:t>住房保障支出（类）住房改革支出（款）住房公积金（项）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指反映行政事业单位按人力资源和社会保障部。财政部规定的基本工资和津贴补贴以及规定比例为职工缴纳的住房公积金。</w:t>
      </w:r>
    </w:p>
    <w:p>
      <w:pPr>
        <w:pStyle w:val="7"/>
        <w:widowControl/>
        <w:spacing w:line="600" w:lineRule="exact"/>
        <w:ind w:firstLine="640"/>
        <w:rPr>
          <w:rFonts w:ascii="方正仿宋_GBK" w:hAnsi="方正仿宋_GBK" w:eastAsia="方正仿宋_GBK" w:cs="方正仿宋_GBK"/>
          <w:sz w:val="30"/>
          <w:szCs w:val="30"/>
        </w:rPr>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方正仿宋_GBK">
    <w:altName w:val="微软雅黑"/>
    <w:panose1 w:val="00000000000000000000"/>
    <w:charset w:val="86"/>
    <w:family w:val="auto"/>
    <w:pitch w:val="default"/>
    <w:sig w:usb0="00000000" w:usb1="00000000" w:usb2="00000000" w:usb3="00000000" w:csb0="00040000" w:csb1="00000000"/>
  </w:font>
  <w:font w:name="Trebuchet MS">
    <w:panose1 w:val="020B0603020202020204"/>
    <w:charset w:val="00"/>
    <w:family w:val="swiss"/>
    <w:pitch w:val="default"/>
    <w:sig w:usb0="00000287" w:usb1="00000000" w:usb2="00000000" w:usb3="00000000" w:csb0="200000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- 11 -</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- 11 -</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0F6734D"/>
    <w:multiLevelType w:val="multilevel"/>
    <w:tmpl w:val="10F6734D"/>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58DF38B"/>
    <w:multiLevelType w:val="singleLevel"/>
    <w:tmpl w:val="458DF38B"/>
    <w:lvl w:ilvl="0" w:tentative="0">
      <w:start w:val="2"/>
      <w:numFmt w:val="chineseCounting"/>
      <w:suff w:val="space"/>
      <w:lvlText w:val="第%1部分"/>
      <w:lvlJc w:val="left"/>
      <w:rPr>
        <w:rFonts w:hint="eastAsia"/>
      </w:rPr>
    </w:lvl>
  </w:abstractNum>
  <w:abstractNum w:abstractNumId="4">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4"/>
  </w:num>
  <w:num w:numId="3">
    <w:abstractNumId w:val="5"/>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ocumentProtection w:enforcement="0"/>
  <w:defaultTabStop w:val="420"/>
  <w:drawingGridHorizontalSpacing w:val="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1A325B"/>
    <w:rsid w:val="001B4EAF"/>
    <w:rsid w:val="00222A64"/>
    <w:rsid w:val="00343664"/>
    <w:rsid w:val="004510B1"/>
    <w:rsid w:val="00573654"/>
    <w:rsid w:val="007E1F0C"/>
    <w:rsid w:val="007F6D96"/>
    <w:rsid w:val="009037B1"/>
    <w:rsid w:val="009B2B05"/>
    <w:rsid w:val="00AB222A"/>
    <w:rsid w:val="00BB1CA9"/>
    <w:rsid w:val="00C22715"/>
    <w:rsid w:val="00E750A2"/>
    <w:rsid w:val="00EE421B"/>
    <w:rsid w:val="00F80E38"/>
    <w:rsid w:val="00FF1CA3"/>
    <w:rsid w:val="039E5F9A"/>
    <w:rsid w:val="045E16EE"/>
    <w:rsid w:val="04F85906"/>
    <w:rsid w:val="06DD2631"/>
    <w:rsid w:val="08033170"/>
    <w:rsid w:val="0D463C1E"/>
    <w:rsid w:val="0E05518C"/>
    <w:rsid w:val="11DE7EA6"/>
    <w:rsid w:val="134E0B80"/>
    <w:rsid w:val="13AE68FF"/>
    <w:rsid w:val="156126BB"/>
    <w:rsid w:val="15D91847"/>
    <w:rsid w:val="165A262D"/>
    <w:rsid w:val="1B3F5170"/>
    <w:rsid w:val="1E221775"/>
    <w:rsid w:val="1ED96E52"/>
    <w:rsid w:val="24B91D4D"/>
    <w:rsid w:val="25076C01"/>
    <w:rsid w:val="2D4F6434"/>
    <w:rsid w:val="2E0A4ED7"/>
    <w:rsid w:val="2FCC566B"/>
    <w:rsid w:val="382273E7"/>
    <w:rsid w:val="3A67783A"/>
    <w:rsid w:val="3E442A60"/>
    <w:rsid w:val="4565285A"/>
    <w:rsid w:val="45B9688E"/>
    <w:rsid w:val="498F34CE"/>
    <w:rsid w:val="4B0A4234"/>
    <w:rsid w:val="4B1A0CBD"/>
    <w:rsid w:val="4C6B3C23"/>
    <w:rsid w:val="530117D5"/>
    <w:rsid w:val="55842E81"/>
    <w:rsid w:val="58166862"/>
    <w:rsid w:val="599C63FA"/>
    <w:rsid w:val="5C210921"/>
    <w:rsid w:val="5C497681"/>
    <w:rsid w:val="5D4E6516"/>
    <w:rsid w:val="5F874270"/>
    <w:rsid w:val="65F22090"/>
    <w:rsid w:val="6A1C434E"/>
    <w:rsid w:val="6C8601E9"/>
    <w:rsid w:val="6DDC4A31"/>
    <w:rsid w:val="6EE81728"/>
    <w:rsid w:val="73BC3F92"/>
    <w:rsid w:val="79623BDB"/>
    <w:rsid w:val="7C1D6F89"/>
    <w:rsid w:val="7CF16054"/>
    <w:rsid w:val="7EF2223F"/>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rPr>
      <w:sz w:val="24"/>
    </w:rPr>
  </w:style>
  <w:style w:type="paragraph" w:customStyle="1" w:styleId="10">
    <w:name w:val="列出段落1"/>
    <w:basedOn w:val="1"/>
    <w:qFormat/>
    <w:uiPriority w:val="34"/>
    <w:pPr>
      <w:ind w:firstLine="420" w:firstLineChars="200"/>
    </w:pPr>
  </w:style>
  <w:style w:type="paragraph" w:customStyle="1" w:styleId="11">
    <w:name w:val="p15"/>
    <w:basedOn w:val="1"/>
    <w:qFormat/>
    <w:uiPriority w:val="0"/>
    <w:pPr>
      <w:widowControl/>
      <w:ind w:firstLine="420"/>
    </w:pPr>
    <w:rPr>
      <w:rFonts w:cs="宋体"/>
      <w:kern w:val="0"/>
      <w:szCs w:val="21"/>
    </w:rPr>
  </w:style>
  <w:style w:type="paragraph" w:customStyle="1" w:styleId="12">
    <w:name w:val="p0"/>
    <w:basedOn w:val="1"/>
    <w:qFormat/>
    <w:uiPriority w:val="0"/>
    <w:pPr>
      <w:widowControl/>
    </w:pPr>
    <w:rPr>
      <w:rFonts w:cs="宋体"/>
      <w:kern w:val="0"/>
      <w:szCs w:val="21"/>
    </w:rPr>
  </w:style>
  <w:style w:type="character" w:customStyle="1" w:styleId="13">
    <w:name w:val="页眉 Char"/>
    <w:basedOn w:val="9"/>
    <w:link w:val="6"/>
    <w:semiHidden/>
    <w:qFormat/>
    <w:uiPriority w:val="99"/>
    <w:rPr>
      <w:sz w:val="18"/>
      <w:szCs w:val="18"/>
    </w:rPr>
  </w:style>
  <w:style w:type="character" w:customStyle="1" w:styleId="14">
    <w:name w:val="页脚 Char"/>
    <w:basedOn w:val="9"/>
    <w:link w:val="5"/>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927F16-0A4D-47EE-9921-D3220C7E9D7F}">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696</Words>
  <Characters>3969</Characters>
  <Lines>33</Lines>
  <Paragraphs>9</Paragraphs>
  <TotalTime>34</TotalTime>
  <ScaleCrop>false</ScaleCrop>
  <LinksUpToDate>false</LinksUpToDate>
  <CharactersWithSpaces>4656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2017-02-03T07:31:00Z</dcterms:created>
  <dc:creator>null,null,总收发</dc:creator>
  <cp:lastModifiedBy>Ting小石</cp:lastModifiedBy>
  <dcterms:modified xsi:type="dcterms:W3CDTF">2021-03-11T09:50:40Z</dcterms:modified>
  <dc:title>××年××部门预算</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