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黑体" w:hAnsi="Trebuchet MS" w:eastAsia="黑体" w:cs="Tahom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rebuchet MS" w:eastAsia="黑体" w:cs="Tahoma"/>
          <w:color w:val="auto"/>
          <w:kern w:val="2"/>
          <w:sz w:val="28"/>
          <w:szCs w:val="28"/>
          <w:lang w:val="en-US" w:eastAsia="zh-CN" w:bidi="ar-SA"/>
        </w:rPr>
        <w:t>说明七：</w:t>
      </w:r>
    </w:p>
    <w:p>
      <w:pPr>
        <w:widowControl w:val="0"/>
        <w:spacing w:before="0" w:beforeAutospacing="0" w:after="0" w:afterAutospacing="0"/>
        <w:ind w:left="0" w:right="0"/>
        <w:jc w:val="both"/>
        <w:rPr>
          <w:rFonts w:hint="eastAsia" w:ascii="黑体" w:hAnsi="Trebuchet MS" w:eastAsia="黑体" w:cs="Tahoma"/>
          <w:color w:val="auto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东方市2020年预算绩效工作开展情况说明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一、建立预算编制与绩效评价结果挂钩机制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2019年度开展的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eastAsia="zh-CN"/>
        </w:rPr>
        <w:t>部门整体支出绩效评价结果前6名和后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eastAsia="zh-CN"/>
        </w:rPr>
        <w:t>的单位，按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3%、5%两种档次分别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eastAsia="zh-CN"/>
        </w:rPr>
        <w:t>奖励、核减部门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 w:eastAsia="zh-CN"/>
        </w:rPr>
        <w:t>年度经常性项目预算，共奖励综合工作经费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21.91万元，核减综合工作经费37.85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万元。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强化绩效目标管理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项目绩效目标管理方面，根据上级财政部门的要求，预算单位在编制2020年度项目支出预算时，全部项目（除涉密项目外）必须编报项目绩效目标。部门绩效目标管理方面，一级预算部门在编报部门预算的同时，对部门职责进行职能描述及绩效目标设定，对活动的产出和成效关键指标设定2020年度绩效目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B7D4"/>
    <w:multiLevelType w:val="singleLevel"/>
    <w:tmpl w:val="5A9CB7D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D5F282E"/>
    <w:rsid w:val="514A4DF9"/>
    <w:rsid w:val="5C0C5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2018-03-05T02:50:00Z</dcterms:created>
  <dc:creator>Administrator</dc:creator>
  <cp:lastModifiedBy>预算管理室</cp:lastModifiedBy>
  <cp:lastPrinted>2018-03-05T07:24:00Z</cp:lastPrinted>
  <dcterms:modified xsi:type="dcterms:W3CDTF">2020-01-26T07:42:36Z</dcterms:modified>
  <dc:title>东方市2018年预算绩效工作开展情况说明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