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东方市农村承包土地经营权和农民住房</w:t>
      </w:r>
    </w:p>
    <w:p>
      <w:pPr>
        <w:pStyle w:val="2"/>
        <w:bidi w:val="0"/>
        <w:rPr>
          <w:rFonts w:hint="eastAsia"/>
        </w:rPr>
      </w:pPr>
      <w:r>
        <w:rPr>
          <w:rFonts w:hint="eastAsia"/>
        </w:rPr>
        <w:t>财产权抵押贷款风险补偿管理暂行办法</w:t>
      </w:r>
    </w:p>
    <w:p>
      <w:pPr>
        <w:ind w:firstLine="640"/>
        <w:rPr>
          <w:rFonts w:hint="eastAsia"/>
        </w:rPr>
      </w:pPr>
    </w:p>
    <w:p>
      <w:pPr>
        <w:ind w:firstLine="640"/>
        <w:rPr>
          <w:u w:val="single"/>
        </w:rPr>
      </w:pPr>
      <w:r>
        <w:rPr>
          <w:rStyle w:val="22"/>
          <w:rFonts w:hint="eastAsia"/>
        </w:rPr>
        <w:t>第一条</w:t>
      </w:r>
      <w:r>
        <w:rPr>
          <w:rFonts w:hint="eastAsia"/>
        </w:rPr>
        <w:t xml:space="preserve"> 为规范推进东方市农村承包土地的经营权和农民住房财产权抵押贷款风险补偿工作，保障该项工作顺利实施，根据</w:t>
      </w:r>
      <w:r>
        <w:rPr>
          <w:rFonts w:hint="eastAsia"/>
          <w:bCs/>
        </w:rPr>
        <w:t>《国务院关于开展农村承包土地的经营权和农民住房财产权抵押贷款试点的指导意见》（国发〔2015〕45号）《农民住房财产权抵押贷款试点暂行办法》（银发〔2016〕78号）《农村承包土地的经营权抵押贷款试点暂行办法》（银发〔2016〕79号），</w:t>
      </w:r>
      <w:r>
        <w:rPr>
          <w:rFonts w:hint="eastAsia"/>
        </w:rPr>
        <w:t>结合东方市实际，制定本办法。</w:t>
      </w:r>
    </w:p>
    <w:p>
      <w:pPr>
        <w:ind w:firstLine="640"/>
      </w:pPr>
      <w:r>
        <w:rPr>
          <w:rStyle w:val="22"/>
          <w:rFonts w:hint="eastAsia"/>
        </w:rPr>
        <w:t>第二条</w:t>
      </w:r>
      <w:r>
        <w:rPr>
          <w:rFonts w:hint="eastAsia"/>
          <w:b/>
          <w:bCs/>
        </w:rPr>
        <w:t xml:space="preserve"> </w:t>
      </w:r>
      <w:r>
        <w:rPr>
          <w:rFonts w:hint="eastAsia"/>
          <w:bCs/>
        </w:rPr>
        <w:t>本办法所称农村承包土地的经营权和农民住房财产权（以下简称“两权”）贷款风险补偿，是指专门对金融机构在我市开展农村“两权”抵押贷款到期发生的风险损失进行补偿。</w:t>
      </w:r>
    </w:p>
    <w:p>
      <w:pPr>
        <w:ind w:firstLine="640"/>
      </w:pPr>
      <w:r>
        <w:rPr>
          <w:rStyle w:val="22"/>
          <w:rFonts w:hint="eastAsia"/>
        </w:rPr>
        <w:t xml:space="preserve">第三条 </w:t>
      </w:r>
      <w:r>
        <w:rPr>
          <w:rFonts w:hint="eastAsia"/>
        </w:rPr>
        <w:t>市人民政府设置由主管负责人负责、有关部门参与的领导小组，负责统一组织、协调和统筹“两权”抵押贷款风险补偿工作。</w:t>
      </w:r>
    </w:p>
    <w:p>
      <w:pPr>
        <w:ind w:firstLine="640"/>
      </w:pPr>
      <w:r>
        <w:rPr>
          <w:rStyle w:val="22"/>
          <w:rFonts w:hint="eastAsia"/>
        </w:rPr>
        <w:t xml:space="preserve">第四条 </w:t>
      </w:r>
      <w:r>
        <w:rPr>
          <w:rFonts w:hint="eastAsia"/>
        </w:rPr>
        <w:t xml:space="preserve">市人民政府设立“两权”抵押贷款风险补偿专项资金（以下简称“风险补偿金”），由市财政部门根据每年财政收支状况和“两权”抵押贷款风险补偿工作的需要，在市财政性资金和其他有关资金中安排适当数额专项用于“两权”抵押贷款的风险补偿，并可以根据实际情况适时调整。 </w:t>
      </w:r>
    </w:p>
    <w:p>
      <w:pPr>
        <w:ind w:firstLine="640"/>
      </w:pPr>
      <w:r>
        <w:rPr>
          <w:rFonts w:hint="eastAsia"/>
        </w:rPr>
        <w:t>“两权”抵押贷款风险补偿金的筹集、拨付、监管等项工作，由市财政主管部门负责组织实施。</w:t>
      </w:r>
    </w:p>
    <w:p>
      <w:pPr>
        <w:ind w:firstLine="640"/>
      </w:pPr>
      <w:r>
        <w:rPr>
          <w:rStyle w:val="22"/>
          <w:rFonts w:hint="eastAsia"/>
        </w:rPr>
        <w:t xml:space="preserve">第五条 </w:t>
      </w:r>
      <w:r>
        <w:rPr>
          <w:rFonts w:hint="eastAsia"/>
        </w:rPr>
        <w:t>风险补偿对象是指本市辖区内按照有关规定开展农村“两权”抵押贷款服务的银行业金融机构；其他从事“两权”抵押的非银行机构（含担保公司）、农村产权交易平台根据工作推进情况择机纳入。</w:t>
      </w:r>
    </w:p>
    <w:p>
      <w:pPr>
        <w:ind w:firstLine="640"/>
      </w:pPr>
      <w:r>
        <w:rPr>
          <w:rStyle w:val="22"/>
          <w:rFonts w:hint="eastAsia"/>
        </w:rPr>
        <w:t xml:space="preserve">第六条 </w:t>
      </w:r>
      <w:r>
        <w:rPr>
          <w:rFonts w:hint="eastAsia"/>
        </w:rPr>
        <w:t>风险补偿金只对因借款人自身生产经营原因或者因自然灾害等不可抗力原因造成贷款本金损失进行有限补偿。申请风险补偿应当具备下列各项条件：</w:t>
      </w:r>
    </w:p>
    <w:p>
      <w:pPr>
        <w:ind w:firstLine="640"/>
      </w:pPr>
      <w:r>
        <w:rPr>
          <w:rFonts w:hint="eastAsia"/>
        </w:rPr>
        <w:t>（一）“两权”抵押贷款合法合规；</w:t>
      </w:r>
    </w:p>
    <w:p>
      <w:pPr>
        <w:ind w:firstLine="640"/>
      </w:pPr>
      <w:r>
        <w:rPr>
          <w:rFonts w:hint="eastAsia"/>
        </w:rPr>
        <w:t>（二）借款人的贷款逾期6个月以上未还款；</w:t>
      </w:r>
    </w:p>
    <w:p>
      <w:pPr>
        <w:ind w:firstLine="640"/>
      </w:pPr>
      <w:r>
        <w:rPr>
          <w:rFonts w:hint="eastAsia"/>
        </w:rPr>
        <w:t>（三）金融机构履行了债权人催收义务。</w:t>
      </w:r>
    </w:p>
    <w:p>
      <w:pPr>
        <w:ind w:firstLine="640"/>
      </w:pPr>
      <w:r>
        <w:rPr>
          <w:rFonts w:hint="eastAsia"/>
        </w:rPr>
        <w:t>金融机构获得的补偿资金可以用于弥补对应贷款项目损失。</w:t>
      </w:r>
    </w:p>
    <w:p>
      <w:pPr>
        <w:ind w:firstLine="640"/>
      </w:pPr>
      <w:r>
        <w:rPr>
          <w:rStyle w:val="22"/>
          <w:rFonts w:hint="eastAsia"/>
        </w:rPr>
        <w:t>第七条</w:t>
      </w:r>
      <w:r>
        <w:rPr>
          <w:rFonts w:hint="eastAsia"/>
        </w:rPr>
        <w:t xml:space="preserve"> 对下列情况不予风险补偿：</w:t>
      </w:r>
    </w:p>
    <w:p>
      <w:pPr>
        <w:ind w:firstLine="640"/>
      </w:pPr>
      <w:r>
        <w:rPr>
          <w:rFonts w:hint="eastAsia"/>
        </w:rPr>
        <w:t>（一）借款人骗取贷款、贷款人违规发放贷款或者存在其他违法行为；</w:t>
      </w:r>
    </w:p>
    <w:p>
      <w:pPr>
        <w:ind w:firstLine="640"/>
      </w:pPr>
      <w:r>
        <w:rPr>
          <w:rFonts w:hint="eastAsia"/>
        </w:rPr>
        <w:t>（二）属于除“两权”抵押外还有其他可供执行的抵押资产或者财产的组合抵押贷款；</w:t>
      </w:r>
    </w:p>
    <w:p>
      <w:pPr>
        <w:ind w:firstLine="640"/>
      </w:pPr>
      <w:r>
        <w:rPr>
          <w:rFonts w:hint="eastAsia"/>
        </w:rPr>
        <w:t>（三）贷款利息及逾期后的罚息、违约金及其他费用等；</w:t>
      </w:r>
    </w:p>
    <w:p>
      <w:pPr>
        <w:ind w:firstLine="640"/>
      </w:pPr>
      <w:r>
        <w:rPr>
          <w:rFonts w:hint="eastAsia"/>
        </w:rPr>
        <w:t>（四）贷款行为发生在本市“两权”抵押贷款工作开展前。</w:t>
      </w:r>
    </w:p>
    <w:p>
      <w:pPr>
        <w:ind w:firstLine="640"/>
      </w:pPr>
      <w:r>
        <w:rPr>
          <w:rStyle w:val="22"/>
          <w:rFonts w:hint="eastAsia"/>
        </w:rPr>
        <w:t xml:space="preserve">第八条 </w:t>
      </w:r>
      <w:r>
        <w:rPr>
          <w:rFonts w:hint="eastAsia"/>
        </w:rPr>
        <w:t>风险补偿坚持有限补偿原则：符合第六条的“两权”抵押贷款本金出现损失，经审批后可以获得风险补偿金。其中，农村承包土地的经营权抵押贷款补偿比例为30%；农民住房财产权抵押贷款补偿比例为40%；“两权”抵押的单户贷款补偿上限不超过20万元；每年度对单个金融机构的补偿上限不超过200万元。</w:t>
      </w:r>
    </w:p>
    <w:p>
      <w:pPr>
        <w:ind w:firstLine="640"/>
      </w:pPr>
      <w:r>
        <w:rPr>
          <w:rStyle w:val="22"/>
          <w:rFonts w:hint="eastAsia"/>
        </w:rPr>
        <w:t>第九条</w:t>
      </w:r>
      <w:r>
        <w:rPr>
          <w:rFonts w:hint="eastAsia"/>
        </w:rPr>
        <w:t xml:space="preserve"> 风险补偿按下列程序申报和拨付资金：</w:t>
      </w:r>
    </w:p>
    <w:p>
      <w:pPr>
        <w:ind w:firstLine="640"/>
      </w:pPr>
      <w:r>
        <w:rPr>
          <w:rFonts w:hint="eastAsia"/>
        </w:rPr>
        <w:t>（一）贷款损失确认后，金融机构应当于每半年后第10个工作日前，按“两权”抵押内容分别向市农业农村主管部门、市自然资源和规划主管部门申报上半年发生的贷款损失，提交相关的申报材料。</w:t>
      </w:r>
    </w:p>
    <w:p>
      <w:pPr>
        <w:ind w:firstLine="640"/>
      </w:pPr>
      <w:r>
        <w:rPr>
          <w:rFonts w:hint="eastAsia"/>
        </w:rPr>
        <w:t>（二）收到申报材料后，市农业农村主管部门、市自然资源和规划主管部门应当分别会同人行东方市支行在10个工作日内进行审核，详细审查有关单据、凭证和资料，并提出补偿方案报市农村“两权”抵押贷款工作领导小组（以下简称“两权”领导小组）审批。金融机构要对申报资料的真实性、合法性负责。</w:t>
      </w:r>
    </w:p>
    <w:p>
      <w:pPr>
        <w:ind w:firstLine="640"/>
      </w:pPr>
      <w:r>
        <w:rPr>
          <w:rFonts w:hint="eastAsia"/>
        </w:rPr>
        <w:t>（三）经“两权”领导小组审批后，市财政主管部门根据审批意见以及相关的资金拨付规定，及时将风险补偿金拨付给有关金融机构。</w:t>
      </w:r>
    </w:p>
    <w:p>
      <w:pPr>
        <w:ind w:firstLine="640"/>
      </w:pPr>
      <w:r>
        <w:rPr>
          <w:rStyle w:val="22"/>
          <w:rFonts w:hint="eastAsia"/>
        </w:rPr>
        <w:t xml:space="preserve">第十条 </w:t>
      </w:r>
      <w:r>
        <w:rPr>
          <w:rFonts w:hint="eastAsia"/>
        </w:rPr>
        <w:t>金融机构申报风险补偿应当提交的材料</w:t>
      </w:r>
    </w:p>
    <w:p>
      <w:pPr>
        <w:ind w:firstLine="640"/>
      </w:pPr>
      <w:r>
        <w:rPr>
          <w:rFonts w:hint="eastAsia"/>
        </w:rPr>
        <w:t>（一）书面申请文件；</w:t>
      </w:r>
    </w:p>
    <w:p>
      <w:pPr>
        <w:ind w:firstLine="640"/>
      </w:pPr>
      <w:r>
        <w:rPr>
          <w:rFonts w:hint="eastAsia"/>
        </w:rPr>
        <w:t>（二）贷款合同、抵押合同、两权抵押登记证书（复印件）；</w:t>
      </w:r>
    </w:p>
    <w:p>
      <w:pPr>
        <w:ind w:firstLine="640"/>
      </w:pPr>
      <w:r>
        <w:rPr>
          <w:rFonts w:hint="eastAsia"/>
        </w:rPr>
        <w:t>（三）借款人还款的有关记录或者凭证材料（复印件）；</w:t>
      </w:r>
    </w:p>
    <w:p>
      <w:pPr>
        <w:ind w:firstLine="640"/>
      </w:pPr>
      <w:r>
        <w:rPr>
          <w:rFonts w:hint="eastAsia"/>
        </w:rPr>
        <w:t>（四）贷前调查、贷中检查、贷后逾期催收等各程序相关证明（复印件）；</w:t>
      </w:r>
    </w:p>
    <w:p>
      <w:pPr>
        <w:ind w:firstLine="640"/>
      </w:pPr>
      <w:r>
        <w:rPr>
          <w:rFonts w:hint="eastAsia"/>
        </w:rPr>
        <w:t>（五）其他相关资料。</w:t>
      </w:r>
    </w:p>
    <w:p>
      <w:pPr>
        <w:ind w:firstLine="640"/>
      </w:pPr>
      <w:r>
        <w:rPr>
          <w:rStyle w:val="22"/>
          <w:rFonts w:hint="eastAsia"/>
        </w:rPr>
        <w:t xml:space="preserve">第十一条 </w:t>
      </w:r>
      <w:r>
        <w:rPr>
          <w:rFonts w:hint="eastAsia"/>
        </w:rPr>
        <w:t>金融机构须在每月10日前向“两权”领导小组办公室报送上月贷款发放的相关资料信息，包括借款人基本信息、贷款用途、贷款金额、贷款期限、贷款利息、抵押方式、借款人还本付息、逾期以及追偿等情况。</w:t>
      </w:r>
    </w:p>
    <w:p>
      <w:pPr>
        <w:ind w:firstLine="640"/>
      </w:pPr>
      <w:r>
        <w:rPr>
          <w:rStyle w:val="22"/>
          <w:rFonts w:hint="eastAsia"/>
        </w:rPr>
        <w:t xml:space="preserve">第十二条 </w:t>
      </w:r>
      <w:r>
        <w:rPr>
          <w:rFonts w:hint="eastAsia"/>
        </w:rPr>
        <w:t>金融机构应当开立专门账户，用于接受或者返还补偿资金。</w:t>
      </w:r>
    </w:p>
    <w:p>
      <w:pPr>
        <w:ind w:firstLine="640"/>
      </w:pPr>
      <w:r>
        <w:rPr>
          <w:rStyle w:val="22"/>
          <w:rFonts w:hint="eastAsia"/>
        </w:rPr>
        <w:t>第十三条</w:t>
      </w:r>
      <w:r>
        <w:rPr>
          <w:rFonts w:hint="eastAsia"/>
        </w:rPr>
        <w:t xml:space="preserve"> 金融机构应当对已拨付风险补偿金的损失类贷款继续通过催缴、处置等方式保持有效追偿，追偿所得扣除追讨费用后，应当按风险补偿金承担比例及时将原已补偿的资金进行返还至“风险补偿专项资金”专户。金融机构不积极履行催缴义务或者不依法及时处置抵押物的，经“两权”领导小组研究并上报市政府同意后，适当降低每年度对该金融机构的补偿上限金额。</w:t>
      </w:r>
    </w:p>
    <w:p>
      <w:pPr>
        <w:ind w:firstLine="640"/>
      </w:pPr>
      <w:r>
        <w:rPr>
          <w:rStyle w:val="22"/>
          <w:rFonts w:hint="eastAsia"/>
        </w:rPr>
        <w:t xml:space="preserve">第十四条 </w:t>
      </w:r>
      <w:r>
        <w:rPr>
          <w:rFonts w:hint="eastAsia"/>
        </w:rPr>
        <w:t>为加强“两权”抵押贷款风险防控，人行东方市支行应当牵头各相关金融机构建立“两权”抵押贷款风险预警机制，密切关注贷款风险。</w:t>
      </w:r>
    </w:p>
    <w:p>
      <w:pPr>
        <w:ind w:firstLine="640"/>
      </w:pPr>
      <w:r>
        <w:rPr>
          <w:rFonts w:hint="eastAsia"/>
        </w:rPr>
        <w:t>（一）单个金融机构“两权”抵押贷款不良率达到5%时，经报“两权”领导小组研究决定后，暂停对该金融机构新发放的“两权”抵押贷款提供风险补偿，要求该金融机构对不良贷款的发生原因进行调查，并采取有效措施及时化解风险；经追偿不良率降到5%以内，经报“两权”领导小组同意后可以重新对新发放贷款提供风险补偿。</w:t>
      </w:r>
    </w:p>
    <w:p>
      <w:pPr>
        <w:ind w:firstLine="640"/>
      </w:pPr>
      <w:r>
        <w:rPr>
          <w:rFonts w:hint="eastAsia"/>
        </w:rPr>
        <w:t>（二）“两权”抵押贷款整体不良率达到4%时，应当报“两权”领导小组研究，并上报市人民政府同意后，通知各金融机构，对新发放的“两权”抵押贷款暂停风险补偿业务，并对不良贷款的发生原因进行调查。</w:t>
      </w:r>
      <w:bookmarkStart w:id="0" w:name="_GoBack"/>
      <w:bookmarkEnd w:id="0"/>
    </w:p>
    <w:p>
      <w:pPr>
        <w:ind w:firstLine="640"/>
      </w:pPr>
      <w:r>
        <w:rPr>
          <w:rStyle w:val="22"/>
          <w:rFonts w:hint="eastAsia"/>
        </w:rPr>
        <w:t>第十五条</w:t>
      </w:r>
      <w:r>
        <w:rPr>
          <w:rFonts w:hint="eastAsia"/>
        </w:rPr>
        <w:t xml:space="preserve"> 市财政主管部门会同人行东方市支行、市农业农村主管部门、市自然资源和规划主管部门、市住房和城乡建设主管部门等部门须在每年的2月底前向“两权”领导小组报告全市上一年度风险补偿金使用情况；市审计主管部门根据市委审计委员会批准的年度审计项目计划，负责对风险补偿金的使用实施审计监督。</w:t>
      </w:r>
    </w:p>
    <w:p>
      <w:pPr>
        <w:ind w:firstLine="640"/>
      </w:pPr>
      <w:r>
        <w:rPr>
          <w:rStyle w:val="22"/>
          <w:rFonts w:hint="eastAsia"/>
        </w:rPr>
        <w:t>第十六条</w:t>
      </w:r>
      <w:r>
        <w:rPr>
          <w:rFonts w:hint="eastAsia"/>
        </w:rPr>
        <w:t xml:space="preserve"> 风险补偿金必须专款专用，对弄虚作假和套取挪用风险补偿金的，按《财政违法行为处罚处分条例》等有关法律法规规定，除全额收缴风险补偿金外，将严肃追究相关责任人、责任单位的责任。涉嫌犯罪的，及时移送司法机关，依法追究刑事责任。</w:t>
      </w:r>
    </w:p>
    <w:p>
      <w:pPr>
        <w:ind w:firstLine="640"/>
      </w:pPr>
      <w:r>
        <w:rPr>
          <w:rStyle w:val="22"/>
          <w:rFonts w:hint="eastAsia"/>
        </w:rPr>
        <w:t>第十七条</w:t>
      </w:r>
      <w:r>
        <w:rPr>
          <w:rFonts w:hint="eastAsia"/>
        </w:rPr>
        <w:t xml:space="preserve"> 人行东方市支行、海南银保监局东方监管组在职责范围内对“两权”抵押贷款业务进行监督管理。</w:t>
      </w:r>
    </w:p>
    <w:p>
      <w:pPr>
        <w:ind w:firstLine="640"/>
      </w:pPr>
      <w:r>
        <w:rPr>
          <w:rStyle w:val="22"/>
          <w:rFonts w:hint="eastAsia"/>
        </w:rPr>
        <w:t>第十八条</w:t>
      </w:r>
      <w:r>
        <w:rPr>
          <w:rFonts w:hint="eastAsia"/>
        </w:rPr>
        <w:t xml:space="preserve"> 已享受本办法规定风险补偿金的贷款，不再重复享受其他风险补偿政策。 </w:t>
      </w:r>
    </w:p>
    <w:p>
      <w:pPr>
        <w:ind w:firstLine="640"/>
      </w:pPr>
      <w:r>
        <w:rPr>
          <w:rStyle w:val="22"/>
          <w:rFonts w:hint="eastAsia"/>
        </w:rPr>
        <w:t xml:space="preserve">第十九条 </w:t>
      </w:r>
      <w:r>
        <w:rPr>
          <w:rFonts w:hint="eastAsia"/>
        </w:rPr>
        <w:t>本办法由市自然资源和规划主管部门负责解释。</w:t>
      </w:r>
    </w:p>
    <w:p>
      <w:pPr>
        <w:ind w:firstLine="640"/>
      </w:pPr>
      <w:r>
        <w:rPr>
          <w:rStyle w:val="22"/>
          <w:rFonts w:hint="eastAsia"/>
        </w:rPr>
        <w:t xml:space="preserve">第二十条 </w:t>
      </w:r>
      <w:r>
        <w:rPr>
          <w:rFonts w:hint="eastAsia"/>
        </w:rPr>
        <w:t>本办法自2021年11月1日起施行，有效期3年。</w:t>
      </w:r>
    </w:p>
    <w:p>
      <w:pPr>
        <w:ind w:firstLine="640"/>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1418" w:bottom="1701" w:left="1418" w:header="1474" w:footer="1304" w:gutter="0"/>
      <w:cols w:space="720" w:num="1"/>
      <w:titlePg/>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0"/>
      <w:jc w:val="right"/>
      <w:rPr>
        <w:b/>
        <w:bCs/>
      </w:rPr>
    </w:pPr>
    <w:r>
      <w:rPr>
        <w:rStyle w:val="10"/>
        <w:rFonts w:hint="eastAsia"/>
      </w:rPr>
      <w:t xml:space="preserve">— </w:t>
    </w:r>
    <w:r>
      <w:fldChar w:fldCharType="begin"/>
    </w:r>
    <w:r>
      <w:rPr>
        <w:rStyle w:val="10"/>
      </w:rPr>
      <w:instrText xml:space="preserve"> PAGE </w:instrText>
    </w:r>
    <w:r>
      <w:fldChar w:fldCharType="separate"/>
    </w:r>
    <w:r>
      <w:rPr>
        <w:rStyle w:val="10"/>
      </w:rPr>
      <w:t>3</w:t>
    </w:r>
    <w:r>
      <w:fldChar w:fldCharType="end"/>
    </w:r>
    <w:r>
      <w:rPr>
        <w:rStyle w:val="10"/>
        <w:rFonts w:hint="eastAsia"/>
      </w:rPr>
      <w:t xml:space="preserve"> —  </w:t>
    </w:r>
    <w:r>
      <w:rPr>
        <w:rStyle w:val="10"/>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400" w:lineRule="exact"/>
      <w:ind w:firstLine="280" w:firstLineChars="100"/>
      <w:rPr>
        <w:rFonts w:hint="eastAsia"/>
      </w:rPr>
    </w:pPr>
    <w:r>
      <w:rPr>
        <w:rStyle w:val="10"/>
        <w:rFonts w:hint="eastAsia"/>
      </w:rPr>
      <w:t xml:space="preserve">— </w:t>
    </w:r>
    <w:r>
      <w:fldChar w:fldCharType="begin"/>
    </w:r>
    <w:r>
      <w:rPr>
        <w:rStyle w:val="10"/>
      </w:rPr>
      <w:instrText xml:space="preserve"> PAGE </w:instrText>
    </w:r>
    <w:r>
      <w:fldChar w:fldCharType="separate"/>
    </w:r>
    <w:r>
      <w:rPr>
        <w:rStyle w:val="10"/>
      </w:rPr>
      <w:t>2</w:t>
    </w:r>
    <w:r>
      <w:fldChar w:fldCharType="end"/>
    </w:r>
    <w:r>
      <w:rPr>
        <w:rStyle w:val="10"/>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2"/>
      <w:jc w:val="right"/>
      <w:rPr>
        <w:rFonts w:hint="eastAsia"/>
        <w:b/>
        <w:bCs/>
      </w:rPr>
    </w:pPr>
    <w:r>
      <w:rPr>
        <w:rStyle w:val="10"/>
        <w:rFonts w:hint="eastAsia"/>
        <w:b/>
        <w:b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trackRevisions w:val="1"/>
  <w:documentProtection w:enforcement="0"/>
  <w:defaultTabStop w:val="420"/>
  <w:hyphenationZone w:val="360"/>
  <w:evenAndOddHeaders w:val="1"/>
  <w:drawingGridHorizontalSpacing w:val="0"/>
  <w:drawingGridVerticalSpacing w:val="3"/>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827E6"/>
    <w:rsid w:val="00076EEA"/>
    <w:rsid w:val="004A1EAD"/>
    <w:rsid w:val="1BBD1E4A"/>
    <w:rsid w:val="39E43481"/>
    <w:rsid w:val="3B6F67D2"/>
    <w:rsid w:val="428F5F13"/>
    <w:rsid w:val="4AAD3FA0"/>
    <w:rsid w:val="4D1767AD"/>
    <w:rsid w:val="5D066263"/>
    <w:rsid w:val="654C37FE"/>
    <w:rsid w:val="6719331F"/>
    <w:rsid w:val="6CF827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topLinePunct/>
      <w:spacing w:line="60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uiPriority w:val="0"/>
    <w:pPr>
      <w:keepNext/>
      <w:keepLines/>
      <w:topLinePunct w:val="0"/>
      <w:spacing w:line="720" w:lineRule="exact"/>
      <w:ind w:firstLine="0" w:firstLineChars="0"/>
      <w:jc w:val="center"/>
      <w:outlineLvl w:val="0"/>
    </w:pPr>
    <w:rPr>
      <w:rFonts w:ascii="方正小标宋_GBK" w:hAnsi="方正小标宋_GBK" w:eastAsia="方正小标宋_GBK" w:cs="方正小标宋_GBK"/>
      <w:kern w:val="44"/>
      <w:sz w:val="44"/>
      <w:szCs w:val="44"/>
    </w:rPr>
  </w:style>
  <w:style w:type="paragraph" w:styleId="3">
    <w:name w:val="heading 2"/>
    <w:basedOn w:val="1"/>
    <w:next w:val="1"/>
    <w:uiPriority w:val="0"/>
    <w:pPr>
      <w:keepNext/>
      <w:keepLines/>
      <w:topLinePunct w:val="0"/>
      <w:spacing w:before="240" w:beforeLines="0" w:after="240" w:afterLines="0" w:line="640" w:lineRule="exact"/>
      <w:ind w:firstLine="0" w:firstLineChars="0"/>
      <w:jc w:val="center"/>
      <w:outlineLvl w:val="1"/>
    </w:pPr>
    <w:rPr>
      <w:rFonts w:ascii="方正小标宋_GBK" w:hAnsi="方正小标宋_GBK" w:eastAsia="方正小标宋_GBK" w:cs="方正小标宋_GBK"/>
      <w:sz w:val="36"/>
      <w:szCs w:val="36"/>
    </w:rPr>
  </w:style>
  <w:style w:type="paragraph" w:styleId="4">
    <w:name w:val="heading 3"/>
    <w:basedOn w:val="1"/>
    <w:next w:val="1"/>
    <w:link w:val="22"/>
    <w:uiPriority w:val="0"/>
    <w:pPr>
      <w:keepNext/>
      <w:keepLines/>
      <w:outlineLvl w:val="2"/>
    </w:pPr>
    <w:rPr>
      <w:rFonts w:ascii="黑体" w:hAnsi="黑体" w:eastAsia="黑体" w:cs="黑体"/>
      <w:szCs w:val="32"/>
    </w:rPr>
  </w:style>
  <w:style w:type="paragraph" w:styleId="5">
    <w:name w:val="heading 4"/>
    <w:basedOn w:val="1"/>
    <w:next w:val="1"/>
    <w:uiPriority w:val="0"/>
    <w:pPr>
      <w:keepNext/>
      <w:keepLines/>
      <w:outlineLvl w:val="3"/>
    </w:pPr>
    <w:rPr>
      <w:rFonts w:ascii="楷体_GB2312" w:hAnsi="楷体_GB2312" w:eastAsia="楷体_GB2312" w:cs="楷体_GB2312"/>
      <w:b/>
      <w:bCs/>
      <w:szCs w:val="32"/>
    </w:rPr>
  </w:style>
  <w:style w:type="paragraph" w:styleId="6">
    <w:name w:val="heading 5"/>
    <w:basedOn w:val="1"/>
    <w:next w:val="1"/>
    <w:uiPriority w:val="0"/>
    <w:pPr>
      <w:keepNext/>
      <w:keepLines/>
      <w:outlineLvl w:val="4"/>
    </w:pPr>
    <w:rPr>
      <w:rFonts w:ascii="仿宋_GB2312" w:hAnsi="仿宋_GB2312" w:cs="仿宋_GB2312"/>
      <w:b/>
      <w:bCs/>
      <w:szCs w:val="32"/>
    </w:rPr>
  </w:style>
  <w:style w:type="character" w:default="1" w:styleId="9">
    <w:name w:val="Default Paragraph Font"/>
    <w:semiHidden/>
    <w:uiPriority w:val="0"/>
    <w:rPr>
      <w:rFonts w:ascii="仿宋_GB2312" w:hAnsi="仿宋_GB2312" w:eastAsia="仿宋_GB2312" w:cs="仿宋_GB2312"/>
      <w:sz w:val="32"/>
      <w:szCs w:val="32"/>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rFonts w:ascii="宋体" w:hAnsi="宋体" w:eastAsia="宋体" w:cs="宋体"/>
      <w:sz w:val="28"/>
      <w:szCs w:val="28"/>
    </w:rPr>
  </w:style>
  <w:style w:type="paragraph" w:styleId="8">
    <w:name w:val="header"/>
    <w:basedOn w:val="1"/>
    <w:next w:val="1"/>
    <w:qFormat/>
    <w:uiPriority w:val="0"/>
    <w:pPr>
      <w:tabs>
        <w:tab w:val="center" w:pos="4153"/>
        <w:tab w:val="right" w:pos="8306"/>
      </w:tabs>
      <w:snapToGrid w:val="0"/>
      <w:spacing w:line="240" w:lineRule="atLeast"/>
      <w:ind w:firstLine="640"/>
      <w:jc w:val="center"/>
    </w:pPr>
    <w:rPr>
      <w:rFonts w:ascii="宋体" w:hAnsi="宋体" w:eastAsia="宋体" w:cs="宋体"/>
      <w:sz w:val="28"/>
      <w:szCs w:val="28"/>
    </w:rPr>
  </w:style>
  <w:style w:type="character" w:styleId="10">
    <w:name w:val="page number"/>
    <w:basedOn w:val="9"/>
    <w:qFormat/>
    <w:uiPriority w:val="0"/>
    <w:rPr>
      <w:rFonts w:ascii="宋体" w:hAnsi="宋体" w:eastAsia="宋体" w:cs="宋体"/>
      <w:sz w:val="28"/>
      <w:szCs w:val="28"/>
    </w:rPr>
  </w:style>
  <w:style w:type="paragraph" w:customStyle="1" w:styleId="12">
    <w:name w:val="01密级及期限"/>
    <w:basedOn w:val="1"/>
    <w:next w:val="1"/>
    <w:qFormat/>
    <w:uiPriority w:val="0"/>
    <w:pPr>
      <w:ind w:firstLine="0" w:firstLineChars="0"/>
      <w:jc w:val="left"/>
    </w:pPr>
    <w:rPr>
      <w:rFonts w:ascii="黑体" w:hAnsi="黑体" w:eastAsia="黑体" w:cs="黑体"/>
    </w:rPr>
  </w:style>
  <w:style w:type="paragraph" w:customStyle="1" w:styleId="13">
    <w:name w:val="10印发单位"/>
    <w:basedOn w:val="1"/>
    <w:next w:val="1"/>
    <w:qFormat/>
    <w:uiPriority w:val="0"/>
    <w:pPr>
      <w:spacing w:before="50" w:beforeLines="50" w:after="50" w:afterLines="50" w:line="500" w:lineRule="exact"/>
      <w:ind w:left="100" w:leftChars="100" w:right="100" w:rightChars="100" w:firstLine="0" w:firstLineChars="0"/>
    </w:pPr>
    <w:rPr>
      <w:sz w:val="28"/>
      <w:szCs w:val="28"/>
    </w:rPr>
  </w:style>
  <w:style w:type="paragraph" w:customStyle="1" w:styleId="14">
    <w:name w:val="07附件2(多个）"/>
    <w:basedOn w:val="1"/>
    <w:next w:val="1"/>
    <w:qFormat/>
    <w:uiPriority w:val="0"/>
    <w:pPr>
      <w:topLinePunct w:val="0"/>
      <w:ind w:left="625" w:leftChars="500" w:hanging="125" w:hangingChars="125"/>
    </w:pPr>
    <w:rPr>
      <w:rFonts w:ascii="仿宋_GB2312" w:hAnsi="仿宋_GB2312" w:cs="仿宋_GB2312"/>
      <w:szCs w:val="32"/>
    </w:rPr>
  </w:style>
  <w:style w:type="paragraph" w:customStyle="1" w:styleId="15">
    <w:name w:val="05附件(单个）"/>
    <w:basedOn w:val="1"/>
    <w:next w:val="1"/>
    <w:qFormat/>
    <w:uiPriority w:val="0"/>
    <w:pPr>
      <w:topLinePunct w:val="0"/>
      <w:ind w:left="500" w:leftChars="200" w:hanging="300" w:hangingChars="300"/>
    </w:pPr>
    <w:rPr>
      <w:rFonts w:ascii="仿宋_GB2312" w:hAnsi="仿宋_GB2312" w:cs="仿宋_GB2312"/>
      <w:szCs w:val="32"/>
    </w:rPr>
  </w:style>
  <w:style w:type="paragraph" w:customStyle="1" w:styleId="16">
    <w:name w:val="02紧急程度"/>
    <w:basedOn w:val="1"/>
    <w:next w:val="1"/>
    <w:qFormat/>
    <w:uiPriority w:val="0"/>
    <w:pPr>
      <w:ind w:firstLine="0" w:firstLineChars="0"/>
      <w:jc w:val="left"/>
    </w:pPr>
    <w:rPr>
      <w:rFonts w:ascii="黑体" w:hAnsi="黑体" w:eastAsia="黑体" w:cs="黑体"/>
    </w:rPr>
  </w:style>
  <w:style w:type="paragraph" w:customStyle="1" w:styleId="17">
    <w:name w:val="06附件1(多个）"/>
    <w:basedOn w:val="1"/>
    <w:next w:val="1"/>
    <w:qFormat/>
    <w:uiPriority w:val="0"/>
    <w:pPr>
      <w:topLinePunct w:val="0"/>
      <w:ind w:left="625" w:leftChars="200" w:hanging="425" w:hangingChars="425"/>
    </w:pPr>
    <w:rPr>
      <w:rFonts w:ascii="仿宋_GB2312" w:hAnsi="仿宋_GB2312" w:cs="仿宋_GB2312"/>
      <w:szCs w:val="32"/>
    </w:rPr>
  </w:style>
  <w:style w:type="paragraph" w:customStyle="1" w:styleId="18">
    <w:name w:val="08落款和日期"/>
    <w:basedOn w:val="1"/>
    <w:next w:val="1"/>
    <w:qFormat/>
    <w:uiPriority w:val="0"/>
    <w:pPr>
      <w:widowControl/>
      <w:topLinePunct w:val="0"/>
      <w:ind w:right="400" w:rightChars="400"/>
      <w:jc w:val="right"/>
    </w:pPr>
    <w:rPr>
      <w:kern w:val="0"/>
    </w:rPr>
  </w:style>
  <w:style w:type="paragraph" w:customStyle="1" w:styleId="19">
    <w:name w:val="09抄送"/>
    <w:basedOn w:val="1"/>
    <w:next w:val="13"/>
    <w:qFormat/>
    <w:uiPriority w:val="0"/>
    <w:pPr>
      <w:spacing w:before="156" w:beforeLines="50" w:after="156" w:afterLines="50" w:line="500" w:lineRule="exact"/>
      <w:ind w:left="960" w:hanging="960" w:hangingChars="300"/>
    </w:pPr>
    <w:rPr>
      <w:sz w:val="28"/>
      <w:szCs w:val="28"/>
    </w:rPr>
  </w:style>
  <w:style w:type="paragraph" w:customStyle="1" w:styleId="20">
    <w:name w:val="04主送（抬头）"/>
    <w:basedOn w:val="1"/>
    <w:next w:val="1"/>
    <w:uiPriority w:val="0"/>
    <w:pPr>
      <w:ind w:firstLine="0" w:firstLineChars="0"/>
      <w:jc w:val="left"/>
    </w:pPr>
    <w:rPr>
      <w:rFonts w:ascii="仿宋_GB2312" w:hAnsi="仿宋_GB2312" w:cs="仿宋_GB2312"/>
      <w:szCs w:val="32"/>
    </w:rPr>
  </w:style>
  <w:style w:type="paragraph" w:customStyle="1" w:styleId="21">
    <w:name w:val="03发文字号"/>
    <w:basedOn w:val="1"/>
    <w:next w:val="1"/>
    <w:qFormat/>
    <w:uiPriority w:val="0"/>
    <w:pPr>
      <w:topLinePunct w:val="0"/>
      <w:spacing w:before="212" w:beforeLines="68"/>
      <w:ind w:firstLine="0" w:firstLineChars="0"/>
      <w:jc w:val="center"/>
    </w:pPr>
    <w:rPr>
      <w:rFonts w:ascii="仿宋_GB2312" w:hAnsi="仿宋_GB2312" w:cs="仿宋_GB2312"/>
      <w:szCs w:val="32"/>
    </w:rPr>
  </w:style>
  <w:style w:type="character" w:customStyle="1" w:styleId="22">
    <w:name w:val="标题 3 Char"/>
    <w:link w:val="4"/>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4120;&#29992;&#25991;&#20214;\(&#26684;&#24335;&#65289;word&#26032;&#24314;&#25991;&#267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(格式）word新建文档.dot</Template>
  <Company>东方市（八所镇）</Company>
  <Pages>1</Pages>
  <Words>0</Words>
  <Characters>0</Characters>
  <Lines>1</Lines>
  <Paragraphs>1</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2021-09-25T03:08:00Z</dcterms:created>
  <dc:creator>张健</dc:creator>
  <cp:lastModifiedBy>未定义</cp:lastModifiedBy>
  <dcterms:modified xsi:type="dcterms:W3CDTF">2021-10-07T16:02:41Z</dcterms:modified>
  <dc:title>东方市农村承包土地的经营权和农民住房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