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东方市农村集体经营性建设用地</w:t>
      </w:r>
    </w:p>
    <w:p>
      <w:pPr>
        <w:pStyle w:val="2"/>
        <w:bidi w:val="0"/>
        <w:rPr>
          <w:rFonts w:hint="eastAsia"/>
        </w:rPr>
      </w:pPr>
      <w:r>
        <w:rPr>
          <w:rFonts w:hint="eastAsia"/>
        </w:rPr>
        <w:t>使用权入市交易收益分配指导意见</w:t>
      </w:r>
    </w:p>
    <w:p>
      <w:pPr>
        <w:ind w:firstLine="640"/>
        <w:rPr>
          <w:rFonts w:hint="eastAsia"/>
        </w:rPr>
      </w:pPr>
    </w:p>
    <w:p>
      <w:pPr>
        <w:spacing w:line="560" w:lineRule="exact"/>
        <w:ind w:firstLine="640"/>
        <w:jc w:val="left"/>
      </w:pPr>
      <w:r>
        <w:rPr>
          <w:rStyle w:val="22"/>
          <w:rFonts w:hint="eastAsia"/>
        </w:rPr>
        <w:t xml:space="preserve">第一条 </w:t>
      </w:r>
      <w:r>
        <w:rPr>
          <w:rFonts w:hint="eastAsia"/>
        </w:rPr>
        <w:t xml:space="preserve"> 为规范东方市农村集体经营性建设用地使用权入市交易收益的分配工作，保障入市交易收益的合法、合理分配，</w:t>
      </w:r>
    </w:p>
    <w:p>
      <w:pPr>
        <w:spacing w:line="560" w:lineRule="exact"/>
        <w:ind w:firstLine="0" w:firstLineChars="0"/>
        <w:jc w:val="left"/>
      </w:pPr>
      <w:r>
        <w:rPr>
          <w:rFonts w:hint="eastAsia"/>
        </w:rPr>
        <w:t>根据《中华人民共和国土地管理法》《海南省村务公开办法》《</w:t>
      </w:r>
      <w:r>
        <w:t>农村基层干部廉洁履行职责若干规定</w:t>
      </w:r>
      <w:r>
        <w:rPr>
          <w:rFonts w:hint="eastAsia"/>
        </w:rPr>
        <w:t>》《农村集体经营性建设用地土地增值收益调节金征收使用管理暂行办法》（财税〔2016〕41号）</w:t>
      </w:r>
      <w:r>
        <w:rPr>
          <w:rFonts w:hint="eastAsia" w:hAnsi="仿宋"/>
        </w:rPr>
        <w:t>《海南省统筹推进农村土地制度改革试点工作实施方案》（琼农土地改〔2019〕1号）</w:t>
      </w:r>
      <w:r>
        <w:rPr>
          <w:rFonts w:hint="eastAsia"/>
        </w:rPr>
        <w:t>《海南省集体经营性建设用地入市试点办法》</w:t>
      </w:r>
      <w:r>
        <w:rPr>
          <w:rFonts w:hint="eastAsia"/>
          <w:bCs/>
        </w:rPr>
        <w:t>（琼自然资改〔2019〕8号）</w:t>
      </w:r>
      <w:r>
        <w:rPr>
          <w:rFonts w:hint="eastAsia"/>
        </w:rPr>
        <w:t>等法律法规及相关政策规定，结合本市实际，制定本意见。</w:t>
      </w:r>
    </w:p>
    <w:p>
      <w:pPr>
        <w:ind w:firstLine="640"/>
      </w:pPr>
      <w:r>
        <w:rPr>
          <w:rStyle w:val="22"/>
          <w:rFonts w:hint="eastAsia"/>
        </w:rPr>
        <w:t xml:space="preserve">第二条  </w:t>
      </w:r>
      <w:r>
        <w:rPr>
          <w:rFonts w:hint="eastAsia"/>
        </w:rPr>
        <w:t>本意见所称农村集体经营性建设用地使用权入市交易收益（以下简称土地收益），是指农村集体经营性建设用地使用权的入市收入，在扣除需依法缴纳的土地交易税费、土地增值收益调节金、房屋及其他地上附着物和青苗补偿费，以及土地评估费、中介费等前期合理投入后的剩余款项。</w:t>
      </w:r>
    </w:p>
    <w:p>
      <w:pPr>
        <w:ind w:firstLine="640"/>
      </w:pPr>
      <w:r>
        <w:rPr>
          <w:rStyle w:val="22"/>
          <w:rFonts w:hint="eastAsia"/>
        </w:rPr>
        <w:t xml:space="preserve">第三条  </w:t>
      </w:r>
      <w:r>
        <w:rPr>
          <w:rFonts w:hint="eastAsia"/>
        </w:rPr>
        <w:t>本意见适用于本市行政区域内的土地收益分配。</w:t>
      </w:r>
    </w:p>
    <w:p>
      <w:pPr>
        <w:ind w:firstLine="640"/>
      </w:pPr>
      <w:r>
        <w:rPr>
          <w:rStyle w:val="22"/>
          <w:rFonts w:hint="eastAsia"/>
        </w:rPr>
        <w:t>第四条</w:t>
      </w:r>
      <w:r>
        <w:rPr>
          <w:rFonts w:hint="eastAsia"/>
        </w:rPr>
        <w:t xml:space="preserve">  土地收益分配应当坚持民主协商、合法和公开、公平、公正原则。</w:t>
      </w:r>
    </w:p>
    <w:p>
      <w:pPr>
        <w:ind w:firstLine="640"/>
      </w:pPr>
      <w:r>
        <w:rPr>
          <w:rStyle w:val="22"/>
          <w:rFonts w:hint="eastAsia"/>
        </w:rPr>
        <w:t xml:space="preserve">第五条 </w:t>
      </w:r>
      <w:r>
        <w:rPr>
          <w:rFonts w:hint="eastAsia"/>
        </w:rPr>
        <w:t xml:space="preserve"> 土地收益属于入市土地所在农村集体经济组织所有，为该集体经济组织的合法财产，由该集体经济组织依法管理、使用，以及在该集体经济组织及其成员之间进行合理分配。</w:t>
      </w:r>
    </w:p>
    <w:p>
      <w:pPr>
        <w:ind w:firstLine="640"/>
      </w:pPr>
      <w:r>
        <w:rPr>
          <w:rStyle w:val="22"/>
          <w:rFonts w:hint="eastAsia"/>
        </w:rPr>
        <w:t>第六条</w:t>
      </w:r>
      <w:r>
        <w:rPr>
          <w:rFonts w:hint="eastAsia"/>
          <w:b/>
          <w:bCs/>
        </w:rPr>
        <w:t xml:space="preserve">  </w:t>
      </w:r>
      <w:r>
        <w:rPr>
          <w:rFonts w:hint="eastAsia"/>
        </w:rPr>
        <w:t>入市交易的农村集体经营性建设用地的所有权分属于不同农村集体经济组织的，土地入市交易前，各农村集体经济组织应当依法达成土地收益分配协议。土地收益分配协议，经各农村集体经济组织成员依法表决通过、公示后，报乡（镇）人民政府备案。</w:t>
      </w:r>
      <w:r>
        <w:rPr>
          <w:rFonts w:hint="eastAsia" w:ascii="宋体" w:hAnsi="宋体" w:eastAsia="宋体"/>
          <w:sz w:val="28"/>
          <w:szCs w:val="28"/>
        </w:rPr>
        <w:t xml:space="preserve"> </w:t>
      </w:r>
    </w:p>
    <w:p>
      <w:pPr>
        <w:ind w:firstLine="640"/>
      </w:pPr>
      <w:r>
        <w:rPr>
          <w:rStyle w:val="22"/>
          <w:rFonts w:hint="eastAsia"/>
        </w:rPr>
        <w:t xml:space="preserve">第七条 </w:t>
      </w:r>
      <w:r>
        <w:rPr>
          <w:rFonts w:hint="eastAsia"/>
        </w:rPr>
        <w:t xml:space="preserve"> 农村集体经济组织分配土地收益，应当依法拟定分配方案，经村民会议三分之二以上成员或者三分之二以上村民代表同意生效；入市交易地块属乡（镇）农民集体所有的，其分配方案应当经乡（镇）人民政府研究同意。</w:t>
      </w:r>
    </w:p>
    <w:p>
      <w:pPr>
        <w:ind w:firstLine="640"/>
      </w:pPr>
      <w:r>
        <w:rPr>
          <w:rStyle w:val="22"/>
          <w:rFonts w:hint="eastAsia"/>
        </w:rPr>
        <w:t xml:space="preserve">第八条 </w:t>
      </w:r>
      <w:r>
        <w:rPr>
          <w:rFonts w:hint="eastAsia"/>
        </w:rPr>
        <w:t xml:space="preserve"> 农村集体经济组织或者乡（镇）人民政府应当按照分配方案预留20%的土地收益，用于该农村集体经济组织</w:t>
      </w:r>
      <w:r>
        <w:rPr>
          <w:rFonts w:hint="eastAsia"/>
          <w:kern w:val="0"/>
        </w:rPr>
        <w:t>成员的养老、医疗等社会保障，</w:t>
      </w:r>
      <w:r>
        <w:rPr>
          <w:rFonts w:hint="eastAsia"/>
        </w:rPr>
        <w:t>基础设施和公益事业建设，以及一二三产业的发展等事项。</w:t>
      </w:r>
    </w:p>
    <w:p>
      <w:pPr>
        <w:spacing w:line="620" w:lineRule="exact"/>
        <w:ind w:firstLine="640"/>
      </w:pPr>
      <w:r>
        <w:rPr>
          <w:rFonts w:hint="eastAsia"/>
        </w:rPr>
        <w:t>预留土地收益，不得用于购置公务用车、支付村干部报酬或补贴、公务招待等非生产性支出，不得以福利形式平均分配给个人，不得用于投资股票、期货等高风险项目。</w:t>
      </w:r>
    </w:p>
    <w:p>
      <w:pPr>
        <w:ind w:firstLine="640"/>
      </w:pPr>
      <w:r>
        <w:rPr>
          <w:rFonts w:hint="eastAsia"/>
        </w:rPr>
        <w:t>关于预留土地收益，法律法规另有规定的，从其规定。</w:t>
      </w:r>
    </w:p>
    <w:p>
      <w:pPr>
        <w:ind w:firstLine="640"/>
      </w:pPr>
      <w:r>
        <w:rPr>
          <w:rStyle w:val="22"/>
          <w:rFonts w:hint="eastAsia"/>
        </w:rPr>
        <w:t>第九条</w:t>
      </w:r>
      <w:r>
        <w:rPr>
          <w:rFonts w:hint="eastAsia"/>
          <w:b/>
          <w:bCs/>
        </w:rPr>
        <w:t xml:space="preserve"> </w:t>
      </w:r>
      <w:r>
        <w:rPr>
          <w:rFonts w:hint="eastAsia"/>
        </w:rPr>
        <w:t xml:space="preserve"> 预留土地收益应当按照“专户储存、专账管理、专款专用”的原则，统一管理、统一结算、定期公开。</w:t>
      </w:r>
    </w:p>
    <w:p>
      <w:pPr>
        <w:ind w:firstLine="640"/>
      </w:pPr>
      <w:r>
        <w:rPr>
          <w:rStyle w:val="22"/>
          <w:rFonts w:hint="eastAsia"/>
        </w:rPr>
        <w:t xml:space="preserve">第十条  </w:t>
      </w:r>
      <w:r>
        <w:rPr>
          <w:rFonts w:hint="eastAsia"/>
        </w:rPr>
        <w:t>享有土地收益分配权的农村集体经济组织成员的身份确认，按照《东方市关于农村集体经济组织成员身份确认的指导意见》执行。</w:t>
      </w:r>
    </w:p>
    <w:p>
      <w:pPr>
        <w:ind w:firstLine="640"/>
      </w:pPr>
      <w:r>
        <w:rPr>
          <w:rStyle w:val="22"/>
          <w:rFonts w:hint="eastAsia"/>
        </w:rPr>
        <w:t>第十一条</w:t>
      </w:r>
      <w:r>
        <w:rPr>
          <w:rFonts w:hint="eastAsia"/>
          <w:b/>
          <w:bCs/>
        </w:rPr>
        <w:t xml:space="preserve"> </w:t>
      </w:r>
      <w:r>
        <w:rPr>
          <w:rFonts w:hint="eastAsia"/>
        </w:rPr>
        <w:t xml:space="preserve"> 农村集体经济组织应当利用村务公开栏及电视、广播等其他辅助形式，依法、及时公开土地收益的数额、使用情况和分配结果等，公开时间不得少于7日。</w:t>
      </w:r>
    </w:p>
    <w:p>
      <w:pPr>
        <w:ind w:firstLine="640"/>
      </w:pPr>
      <w:r>
        <w:rPr>
          <w:rStyle w:val="22"/>
          <w:rFonts w:hint="eastAsia"/>
        </w:rPr>
        <w:t>第十二条</w:t>
      </w:r>
      <w:r>
        <w:rPr>
          <w:rFonts w:hint="eastAsia"/>
          <w:b/>
          <w:bCs/>
        </w:rPr>
        <w:t xml:space="preserve"> </w:t>
      </w:r>
      <w:r>
        <w:rPr>
          <w:rFonts w:hint="eastAsia"/>
        </w:rPr>
        <w:t xml:space="preserve"> 土地收益的管理、使用，应当接受农村集体经济组织内部监督机构、成员的民主监督，切实保障集体经济组织内部监督机构的检查权、监督权、质疑权，以及集体经济组织成员的知情权、决策权、参与权和监督权等合法权利。</w:t>
      </w:r>
    </w:p>
    <w:p>
      <w:pPr>
        <w:ind w:firstLine="640"/>
      </w:pPr>
      <w:r>
        <w:rPr>
          <w:rFonts w:hint="eastAsia"/>
        </w:rPr>
        <w:t>土地收益的管理、使用，应当接受相关行政主管部门的审计监督。审计结果要依法、及时公布。对于审计中查出的问题，要依法依规予以处理。</w:t>
      </w:r>
    </w:p>
    <w:p>
      <w:pPr>
        <w:ind w:firstLine="640"/>
      </w:pPr>
      <w:r>
        <w:rPr>
          <w:rStyle w:val="22"/>
          <w:rFonts w:hint="eastAsia"/>
        </w:rPr>
        <w:t>第十三条</w:t>
      </w:r>
      <w:r>
        <w:rPr>
          <w:rFonts w:hint="eastAsia"/>
          <w:b/>
          <w:bCs/>
        </w:rPr>
        <w:t xml:space="preserve">  </w:t>
      </w:r>
      <w:r>
        <w:rPr>
          <w:rFonts w:hint="eastAsia"/>
        </w:rPr>
        <w:t>有下列行为之一的,将依法追究相关责任人责任;构成犯罪的,依法追究相关责任人的刑事责任：</w:t>
      </w:r>
    </w:p>
    <w:p>
      <w:pPr>
        <w:ind w:firstLine="640"/>
      </w:pPr>
      <w:r>
        <w:rPr>
          <w:rFonts w:hint="eastAsia"/>
        </w:rPr>
        <w:t>（一）侵占、截留、挪用、挥霍、私分土地收益的；</w:t>
      </w:r>
    </w:p>
    <w:p>
      <w:pPr>
        <w:ind w:firstLine="640"/>
      </w:pPr>
      <w:r>
        <w:rPr>
          <w:rFonts w:hint="eastAsia"/>
        </w:rPr>
        <w:t>（二）以虚报、冒领等手段套取、骗取土地收益的；</w:t>
      </w:r>
    </w:p>
    <w:p>
      <w:pPr>
        <w:ind w:firstLine="640"/>
      </w:pPr>
      <w:r>
        <w:rPr>
          <w:rFonts w:hint="eastAsia"/>
        </w:rPr>
        <w:t>（三）违反规定处置、借用土地收益，或者擅自用土地收益为他人提供担保的；</w:t>
      </w:r>
    </w:p>
    <w:p>
      <w:pPr>
        <w:ind w:firstLine="640"/>
      </w:pPr>
      <w:r>
        <w:rPr>
          <w:rFonts w:hint="eastAsia"/>
        </w:rPr>
        <w:t>（四）在土地收益使用过程中暗箱操作，为本人或他人谋取私利的；</w:t>
      </w:r>
    </w:p>
    <w:p>
      <w:pPr>
        <w:ind w:firstLine="640"/>
      </w:pPr>
      <w:r>
        <w:rPr>
          <w:rFonts w:hint="eastAsia"/>
        </w:rPr>
        <w:t>（五）不按照规定实行民主理财,或者伪造、变造、隐匿、销毁财务会计资料的；</w:t>
      </w:r>
    </w:p>
    <w:p>
      <w:pPr>
        <w:ind w:firstLine="640"/>
      </w:pPr>
      <w:r>
        <w:rPr>
          <w:rFonts w:hint="eastAsia"/>
        </w:rPr>
        <w:t>（六）阻挠、干扰村民、有关部门和单位开展</w:t>
      </w:r>
      <w:bookmarkStart w:id="0" w:name="_GoBack"/>
      <w:bookmarkEnd w:id="0"/>
      <w:r>
        <w:rPr>
          <w:rFonts w:hint="eastAsia"/>
        </w:rPr>
        <w:t>监督、审计和监督检查的;</w:t>
      </w:r>
    </w:p>
    <w:p>
      <w:pPr>
        <w:ind w:firstLine="640"/>
      </w:pPr>
      <w:r>
        <w:rPr>
          <w:rFonts w:hint="eastAsia"/>
        </w:rPr>
        <w:t>（七）法律法规规定的其他情形。</w:t>
      </w:r>
    </w:p>
    <w:p>
      <w:pPr>
        <w:ind w:firstLine="640"/>
      </w:pPr>
      <w:r>
        <w:rPr>
          <w:rStyle w:val="22"/>
          <w:rFonts w:hint="eastAsia"/>
        </w:rPr>
        <w:t>第十四条</w:t>
      </w:r>
      <w:r>
        <w:rPr>
          <w:rFonts w:hint="eastAsia"/>
          <w:b/>
          <w:bCs/>
        </w:rPr>
        <w:t xml:space="preserve">  </w:t>
      </w:r>
      <w:r>
        <w:rPr>
          <w:rFonts w:hint="eastAsia"/>
        </w:rPr>
        <w:t>本意见由市自然资源和规划主管部门负责解释。</w:t>
      </w:r>
    </w:p>
    <w:p>
      <w:pPr>
        <w:ind w:firstLine="640"/>
        <w:rPr>
          <w:bCs/>
        </w:rPr>
      </w:pPr>
      <w:r>
        <w:rPr>
          <w:rStyle w:val="22"/>
          <w:rFonts w:hint="eastAsia"/>
        </w:rPr>
        <w:t>第十五条</w:t>
      </w:r>
      <w:r>
        <w:rPr>
          <w:rFonts w:hint="eastAsia"/>
          <w:b/>
          <w:bCs/>
        </w:rPr>
        <w:t xml:space="preserve">  </w:t>
      </w:r>
      <w:r>
        <w:rPr>
          <w:rFonts w:hint="eastAsia"/>
          <w:bCs/>
        </w:rPr>
        <w:t>本意见自2021年11月1日起施行，有效期三年。</w:t>
      </w:r>
    </w:p>
    <w:p>
      <w:pPr>
        <w:ind w:firstLine="640"/>
        <w:rPr>
          <w:rFonts w:hint="eastAsia"/>
        </w:rPr>
      </w:pPr>
    </w:p>
    <w:p>
      <w:pPr>
        <w:ind w:firstLine="64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5506A"/>
    <w:rsid w:val="00076EEA"/>
    <w:rsid w:val="004A1EAD"/>
    <w:rsid w:val="053F3F7D"/>
    <w:rsid w:val="17D0500D"/>
    <w:rsid w:val="207B3143"/>
    <w:rsid w:val="27A5506A"/>
    <w:rsid w:val="43AD78D9"/>
    <w:rsid w:val="6E036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2"/>
    <w:uiPriority w:val="0"/>
    <w:pPr>
      <w:keepNext/>
      <w:keepLines/>
      <w:outlineLvl w:val="2"/>
    </w:pPr>
    <w:rPr>
      <w:rFonts w:ascii="黑体" w:hAnsi="黑体" w:eastAsia="黑体" w:cs="黑体"/>
      <w:szCs w:val="32"/>
    </w:rPr>
  </w:style>
  <w:style w:type="paragraph" w:styleId="5">
    <w:name w:val="heading 4"/>
    <w:basedOn w:val="1"/>
    <w:next w:val="1"/>
    <w:qFormat/>
    <w:uiPriority w:val="0"/>
    <w:pPr>
      <w:keepNext/>
      <w:keepLines/>
      <w:outlineLvl w:val="3"/>
    </w:pPr>
    <w:rPr>
      <w:rFonts w:ascii="楷体_GB2312" w:hAnsi="楷体_GB2312" w:eastAsia="楷体_GB2312" w:cs="楷体_GB2312"/>
      <w:b/>
      <w:bCs/>
      <w:szCs w:val="32"/>
    </w:rPr>
  </w:style>
  <w:style w:type="paragraph" w:styleId="6">
    <w:name w:val="heading 5"/>
    <w:basedOn w:val="1"/>
    <w:next w:val="1"/>
    <w:uiPriority w:val="0"/>
    <w:pPr>
      <w:keepNext/>
      <w:keepLines/>
      <w:outlineLvl w:val="4"/>
    </w:pPr>
    <w:rPr>
      <w:rFonts w:ascii="仿宋_GB2312" w:hAnsi="仿宋_GB2312" w:cs="仿宋_GB2312"/>
      <w:b/>
      <w:bCs/>
      <w:szCs w:val="32"/>
    </w:rPr>
  </w:style>
  <w:style w:type="character" w:default="1" w:styleId="9">
    <w:name w:val="Default Paragraph Font"/>
    <w:semiHidden/>
    <w:uiPriority w:val="0"/>
    <w:rPr>
      <w:rFonts w:ascii="仿宋_GB2312" w:hAnsi="仿宋_GB2312" w:eastAsia="仿宋_GB2312" w:cs="仿宋_GB2312"/>
      <w:sz w:val="32"/>
      <w:szCs w:val="32"/>
    </w:rPr>
  </w:style>
  <w:style w:type="table" w:default="1" w:styleId="11">
    <w:name w:val="Normal Table"/>
    <w:semiHidden/>
    <w:uiPriority w:val="0"/>
    <w:tblPr>
      <w:tblLayout w:type="fixed"/>
      <w:tblCellMar>
        <w:top w:w="0" w:type="dxa"/>
        <w:left w:w="108" w:type="dxa"/>
        <w:bottom w:w="0" w:type="dxa"/>
        <w:right w:w="108" w:type="dxa"/>
      </w:tblCellMar>
    </w:tblPr>
  </w:style>
  <w:style w:type="paragraph" w:styleId="7">
    <w:name w:val="footer"/>
    <w:basedOn w:val="1"/>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qFormat/>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uiPriority w:val="0"/>
    <w:rPr>
      <w:rFonts w:ascii="宋体" w:hAnsi="宋体" w:eastAsia="宋体" w:cs="宋体"/>
      <w:sz w:val="28"/>
      <w:szCs w:val="28"/>
    </w:rPr>
  </w:style>
  <w:style w:type="paragraph" w:customStyle="1" w:styleId="12">
    <w:name w:val="01密级及期限"/>
    <w:basedOn w:val="1"/>
    <w:next w:val="1"/>
    <w:uiPriority w:val="0"/>
    <w:pPr>
      <w:ind w:firstLine="0" w:firstLineChars="0"/>
      <w:jc w:val="left"/>
    </w:pPr>
    <w:rPr>
      <w:rFonts w:ascii="黑体" w:hAnsi="黑体" w:eastAsia="黑体" w:cs="黑体"/>
    </w:rPr>
  </w:style>
  <w:style w:type="paragraph" w:customStyle="1" w:styleId="13">
    <w:name w:val="10印发单位"/>
    <w:basedOn w:val="1"/>
    <w:next w:val="1"/>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qFormat/>
    <w:uiPriority w:val="0"/>
    <w:pPr>
      <w:widowControl/>
      <w:topLinePunct w:val="0"/>
      <w:ind w:right="400" w:rightChars="400"/>
      <w:jc w:val="right"/>
    </w:pPr>
    <w:rPr>
      <w:kern w:val="0"/>
    </w:rPr>
  </w:style>
  <w:style w:type="paragraph" w:customStyle="1" w:styleId="19">
    <w:name w:val="09抄送"/>
    <w:basedOn w:val="1"/>
    <w:next w:val="13"/>
    <w:qFormat/>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qFormat/>
    <w:uiPriority w:val="0"/>
    <w:pPr>
      <w:ind w:firstLine="0" w:firstLineChars="0"/>
      <w:jc w:val="left"/>
    </w:pPr>
    <w:rPr>
      <w:rFonts w:ascii="仿宋_GB2312" w:hAnsi="仿宋_GB2312" w:cs="仿宋_GB2312"/>
      <w:szCs w:val="32"/>
    </w:rPr>
  </w:style>
  <w:style w:type="paragraph" w:customStyle="1" w:styleId="21">
    <w:name w:val="03发文字号"/>
    <w:basedOn w:val="1"/>
    <w:next w:val="1"/>
    <w:qFormat/>
    <w:uiPriority w:val="0"/>
    <w:pPr>
      <w:topLinePunct w:val="0"/>
      <w:spacing w:before="212" w:beforeLines="68"/>
      <w:ind w:firstLine="0" w:firstLineChars="0"/>
      <w:jc w:val="center"/>
    </w:pPr>
    <w:rPr>
      <w:rFonts w:ascii="仿宋_GB2312" w:hAnsi="仿宋_GB2312" w:cs="仿宋_GB2312"/>
      <w:szCs w:val="32"/>
    </w:rPr>
  </w:style>
  <w:style w:type="character" w:customStyle="1" w:styleId="22">
    <w:name w:val="标题 3 Char"/>
    <w:link w:val="4"/>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2021-09-25T03:25:00Z</dcterms:created>
  <dc:creator>张健</dc:creator>
  <cp:lastModifiedBy>未定义</cp:lastModifiedBy>
  <dcterms:modified xsi:type="dcterms:W3CDTF">2021-10-07T16:09:07Z</dcterms:modified>
  <dc:title>东方市农村集体经营性建设用地使用权入市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