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rFonts w:hint="eastAsia" w:ascii="方正小标宋_GBK" w:hAnsi="方正小标宋_GBK" w:eastAsia="方正小标宋_GBK" w:cs="方正小标宋_GBK"/>
          <w:sz w:val="52"/>
          <w:szCs w:val="52"/>
          <w:lang w:eastAsia="zh-CN"/>
        </w:rPr>
      </w:pPr>
      <w:r>
        <w:rPr>
          <w:rFonts w:hint="eastAsia" w:ascii="方正小标宋_GBK" w:hAnsi="方正小标宋_GBK" w:eastAsia="方正小标宋_GBK" w:cs="方正小标宋_GBK"/>
          <w:sz w:val="52"/>
          <w:szCs w:val="52"/>
          <w:lang w:val="en-US" w:eastAsia="zh-CN"/>
        </w:rPr>
        <w:t>2024</w:t>
      </w:r>
      <w:r>
        <w:rPr>
          <w:rFonts w:hint="eastAsia" w:ascii="方正小标宋_GBK" w:hAnsi="方正小标宋_GBK" w:eastAsia="方正小标宋_GBK" w:cs="方正小标宋_GBK"/>
          <w:sz w:val="52"/>
          <w:szCs w:val="52"/>
        </w:rPr>
        <w:t>年</w:t>
      </w:r>
      <w:r>
        <w:rPr>
          <w:rFonts w:hint="eastAsia" w:ascii="方正小标宋_GBK" w:hAnsi="方正小标宋_GBK" w:eastAsia="方正小标宋_GBK" w:cs="方正小标宋_GBK"/>
          <w:sz w:val="52"/>
          <w:szCs w:val="52"/>
          <w:lang w:eastAsia="zh-CN"/>
        </w:rPr>
        <w:t>东方市红泉农场中心学校</w:t>
      </w:r>
    </w:p>
    <w:p>
      <w:pPr>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eastAsia="zh-CN"/>
        </w:rPr>
        <w:t>单位</w:t>
      </w:r>
      <w:r>
        <w:rPr>
          <w:rFonts w:hint="eastAsia" w:ascii="方正小标宋_GBK" w:hAnsi="方正小标宋_GBK" w:eastAsia="方正小标宋_GBK" w:cs="方正小标宋_GBK"/>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r>
        <w:rPr>
          <w:rFonts w:hint="eastAsia" w:ascii="黑体" w:hAnsi="黑体" w:eastAsia="黑体"/>
          <w:sz w:val="52"/>
          <w:szCs w:val="52"/>
        </w:rPr>
        <w:t>目录</w:t>
      </w:r>
    </w:p>
    <w:p>
      <w:pPr>
        <w:jc w:val="center"/>
        <w:rPr>
          <w:rFonts w:hint="eastAsia" w:ascii="黑体" w:hAnsi="黑体" w:eastAsia="黑体"/>
          <w:sz w:val="52"/>
          <w:szCs w:val="52"/>
        </w:rPr>
      </w:pPr>
    </w:p>
    <w:p>
      <w:pPr>
        <w:pStyle w:val="7"/>
        <w:numPr>
          <w:ilvl w:val="0"/>
          <w:numId w:val="1"/>
        </w:numPr>
        <w:ind w:firstLineChars="0"/>
        <w:jc w:val="left"/>
        <w:rPr>
          <w:rFonts w:hint="eastAsia" w:ascii="黑体" w:hAnsi="黑体" w:eastAsia="黑体"/>
          <w:sz w:val="32"/>
          <w:szCs w:val="32"/>
        </w:rPr>
      </w:pPr>
      <w:r>
        <w:rPr>
          <w:rFonts w:hint="eastAsia" w:ascii="黑体" w:hAnsi="黑体" w:eastAsia="黑体"/>
          <w:sz w:val="32"/>
          <w:szCs w:val="32"/>
          <w:lang w:eastAsia="zh-CN"/>
        </w:rPr>
        <w:t>东方市红泉农场中心学校</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1"/>
        </w:numPr>
        <w:ind w:firstLineChars="0"/>
        <w:rPr>
          <w:rFonts w:hint="eastAsia"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东方市红泉农场中心学校2024</w:t>
      </w:r>
      <w:r>
        <w:rPr>
          <w:rFonts w:hint="eastAsia" w:ascii="黑体" w:hAnsi="黑体" w:eastAsia="黑体"/>
          <w:sz w:val="32"/>
          <w:szCs w:val="32"/>
        </w:rPr>
        <w:t>年单位预算表</w:t>
      </w:r>
    </w:p>
    <w:p>
      <w:pPr>
        <w:pStyle w:val="7"/>
        <w:numPr>
          <w:ilvl w:val="0"/>
          <w:numId w:val="3"/>
        </w:numPr>
        <w:ind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财政拨款收支总表</w:t>
      </w:r>
    </w:p>
    <w:p>
      <w:pPr>
        <w:pStyle w:val="7"/>
        <w:numPr>
          <w:ilvl w:val="0"/>
          <w:numId w:val="3"/>
        </w:numPr>
        <w:ind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一般公共预算支出表</w:t>
      </w:r>
    </w:p>
    <w:p>
      <w:pPr>
        <w:pStyle w:val="7"/>
        <w:numPr>
          <w:ilvl w:val="0"/>
          <w:numId w:val="3"/>
        </w:numPr>
        <w:ind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一般公共预算基本支出表</w:t>
      </w:r>
    </w:p>
    <w:p>
      <w:pPr>
        <w:pStyle w:val="7"/>
        <w:numPr>
          <w:ilvl w:val="0"/>
          <w:numId w:val="3"/>
        </w:numPr>
        <w:ind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一般公共预算“三公”经费支出表</w:t>
      </w:r>
    </w:p>
    <w:p>
      <w:pPr>
        <w:pStyle w:val="7"/>
        <w:numPr>
          <w:ilvl w:val="0"/>
          <w:numId w:val="3"/>
        </w:numPr>
        <w:ind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政府性基金预算支出表</w:t>
      </w:r>
    </w:p>
    <w:p>
      <w:pPr>
        <w:pStyle w:val="7"/>
        <w:numPr>
          <w:ilvl w:val="0"/>
          <w:numId w:val="3"/>
        </w:numPr>
        <w:ind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政府性基金预算“三公”经费支出表</w:t>
      </w:r>
    </w:p>
    <w:p>
      <w:pPr>
        <w:pStyle w:val="7"/>
        <w:numPr>
          <w:ilvl w:val="0"/>
          <w:numId w:val="3"/>
        </w:numPr>
        <w:ind w:firstLineChars="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部门</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收支总表</w:t>
      </w:r>
    </w:p>
    <w:p>
      <w:pPr>
        <w:pStyle w:val="7"/>
        <w:numPr>
          <w:ilvl w:val="0"/>
          <w:numId w:val="3"/>
        </w:numPr>
        <w:ind w:firstLineChars="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部门</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收入总表</w:t>
      </w:r>
    </w:p>
    <w:p>
      <w:pPr>
        <w:pStyle w:val="7"/>
        <w:numPr>
          <w:ilvl w:val="0"/>
          <w:numId w:val="3"/>
        </w:numPr>
        <w:ind w:firstLineChars="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部门</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支出总表</w:t>
      </w:r>
    </w:p>
    <w:p>
      <w:pPr>
        <w:pStyle w:val="7"/>
        <w:numPr>
          <w:ilvl w:val="0"/>
          <w:numId w:val="3"/>
        </w:numPr>
        <w:ind w:firstLineChars="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东方市红泉农场中心学校2024</w:t>
      </w:r>
      <w:r>
        <w:rPr>
          <w:rFonts w:hint="eastAsia" w:ascii="黑体" w:hAnsi="黑体" w:eastAsia="黑体"/>
          <w:sz w:val="32"/>
          <w:szCs w:val="32"/>
        </w:rPr>
        <w:t>年预算情况说明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7"/>
        <w:keepNext w:val="0"/>
        <w:keepLines w:val="0"/>
        <w:pageBreakBefore w:val="0"/>
        <w:numPr>
          <w:ilvl w:val="0"/>
          <w:numId w:val="4"/>
        </w:numPr>
        <w:kinsoku/>
        <w:wordWrap/>
        <w:overflowPunct/>
        <w:topLinePunct w:val="0"/>
        <w:autoSpaceDE/>
        <w:autoSpaceDN/>
        <w:bidi w:val="0"/>
        <w:adjustRightInd/>
        <w:snapToGrid/>
        <w:spacing w:line="560" w:lineRule="exact"/>
        <w:ind w:firstLineChars="0"/>
        <w:jc w:val="center"/>
        <w:textAlignment w:val="auto"/>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东方市红泉农场中心学校</w:t>
      </w:r>
      <w:r>
        <w:rPr>
          <w:rFonts w:hint="eastAsia" w:ascii="黑体" w:hAnsi="黑体" w:eastAsia="黑体"/>
          <w:sz w:val="32"/>
          <w:szCs w:val="32"/>
        </w:rPr>
        <w:t>概况</w:t>
      </w:r>
    </w:p>
    <w:p>
      <w:pPr>
        <w:pStyle w:val="7"/>
        <w:keepNext w:val="0"/>
        <w:keepLines w:val="0"/>
        <w:pageBreakBefore w:val="0"/>
        <w:numPr>
          <w:ilvl w:val="0"/>
          <w:numId w:val="0"/>
        </w:numPr>
        <w:kinsoku/>
        <w:wordWrap/>
        <w:overflowPunct/>
        <w:topLinePunct w:val="0"/>
        <w:autoSpaceDE/>
        <w:autoSpaceDN/>
        <w:bidi w:val="0"/>
        <w:adjustRightInd/>
        <w:snapToGrid/>
        <w:spacing w:line="560" w:lineRule="exact"/>
        <w:ind w:leftChars="0"/>
        <w:jc w:val="both"/>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sz w:val="32"/>
          <w:szCs w:val="32"/>
        </w:rPr>
      </w:pPr>
    </w:p>
    <w:p>
      <w:pPr>
        <w:numPr>
          <w:ilvl w:val="0"/>
          <w:numId w:val="5"/>
        </w:numPr>
        <w:wordWrap/>
        <w:adjustRightInd/>
        <w:snapToGrid/>
        <w:spacing w:before="0" w:after="0" w:line="600" w:lineRule="exact"/>
        <w:ind w:right="0" w:firstLine="640" w:firstLineChars="200"/>
        <w:jc w:val="left"/>
        <w:textAlignment w:val="auto"/>
        <w:outlineLvl w:val="9"/>
        <w:rPr>
          <w:rFonts w:hint="eastAsia" w:ascii="黑体" w:hAnsi="黑体" w:eastAsia="黑体" w:cs="仿宋_GB2312"/>
          <w:sz w:val="32"/>
          <w:szCs w:val="32"/>
        </w:rPr>
      </w:pPr>
      <w:r>
        <w:rPr>
          <w:rFonts w:hint="eastAsia" w:ascii="黑体" w:hAnsi="黑体" w:eastAsia="黑体" w:cs="仿宋_GB2312"/>
          <w:sz w:val="32"/>
          <w:szCs w:val="32"/>
        </w:rPr>
        <w:t>主要职能</w:t>
      </w:r>
    </w:p>
    <w:p>
      <w:pPr>
        <w:numPr>
          <w:ilvl w:val="0"/>
          <w:numId w:val="0"/>
        </w:numPr>
        <w:wordWrap/>
        <w:adjustRightInd/>
        <w:snapToGrid/>
        <w:spacing w:before="0" w:after="0" w:line="600" w:lineRule="exact"/>
        <w:ind w:right="0" w:rightChars="0" w:firstLine="1600" w:firstLineChars="500"/>
        <w:jc w:val="left"/>
        <w:textAlignment w:val="auto"/>
        <w:outlineLvl w:val="9"/>
        <w:rPr>
          <w:rStyle w:val="13"/>
          <w:rFonts w:hint="eastAsia" w:ascii="黑体" w:hAnsi="黑体" w:eastAsia="黑体" w:cs="黑体"/>
          <w:color w:val="auto"/>
          <w:sz w:val="32"/>
          <w:szCs w:val="32"/>
        </w:rPr>
      </w:pPr>
      <w:r>
        <w:rPr>
          <w:rFonts w:hint="eastAsia" w:ascii="黑体" w:hAnsi="黑体" w:eastAsia="黑体" w:cs="黑体"/>
          <w:color w:val="auto"/>
          <w:sz w:val="32"/>
          <w:szCs w:val="32"/>
          <w:shd w:val="clear" w:color="auto" w:fill="FFFFFF"/>
          <w:lang w:val="en-US" w:eastAsia="zh-CN"/>
        </w:rPr>
        <w:t>单位</w:t>
      </w:r>
      <w:r>
        <w:rPr>
          <w:rFonts w:hint="eastAsia" w:ascii="黑体" w:hAnsi="黑体" w:eastAsia="黑体" w:cs="黑体"/>
          <w:color w:val="auto"/>
          <w:sz w:val="32"/>
          <w:szCs w:val="32"/>
          <w:shd w:val="clear" w:color="auto" w:fill="FFFFFF"/>
        </w:rPr>
        <w:t>主要职能</w:t>
      </w:r>
      <w:r>
        <w:rPr>
          <w:rFonts w:hint="eastAsia" w:ascii="黑体" w:hAnsi="黑体" w:eastAsia="黑体" w:cs="黑体"/>
          <w:color w:val="auto"/>
          <w:sz w:val="32"/>
          <w:szCs w:val="32"/>
          <w:shd w:val="clear" w:color="auto" w:fill="FFFFFF"/>
          <w:lang w:val="en-US" w:eastAsia="zh-CN"/>
        </w:rPr>
        <w:t>:</w:t>
      </w:r>
      <w:r>
        <w:rPr>
          <w:rStyle w:val="13"/>
          <w:rFonts w:hint="eastAsia" w:ascii="黑体" w:hAnsi="黑体" w:eastAsia="黑体" w:cs="黑体"/>
          <w:color w:val="auto"/>
          <w:sz w:val="32"/>
          <w:szCs w:val="32"/>
        </w:rPr>
        <w:t>为实施初中和小学义务教育促进基础教育发展。为小学学历教育及相关社会服务。</w:t>
      </w:r>
    </w:p>
    <w:p>
      <w:pPr>
        <w:pStyle w:val="7"/>
        <w:keepNext w:val="0"/>
        <w:keepLines w:val="0"/>
        <w:pageBreakBefore w:val="0"/>
        <w:numPr>
          <w:ilvl w:val="0"/>
          <w:numId w:val="0"/>
        </w:numPr>
        <w:kinsoku/>
        <w:wordWrap/>
        <w:overflowPunct/>
        <w:topLinePunct w:val="0"/>
        <w:autoSpaceDE/>
        <w:autoSpaceDN/>
        <w:bidi w:val="0"/>
        <w:adjustRightInd/>
        <w:snapToGrid/>
        <w:spacing w:line="560" w:lineRule="exact"/>
        <w:ind w:leftChars="0"/>
        <w:jc w:val="left"/>
        <w:textAlignment w:val="auto"/>
        <w:rPr>
          <w:rFonts w:ascii="黑体" w:hAnsi="黑体" w:eastAsia="黑体" w:cs="仿宋_GB2312"/>
          <w:sz w:val="32"/>
          <w:szCs w:val="32"/>
        </w:rPr>
      </w:pPr>
      <w:r>
        <w:rPr>
          <w:rStyle w:val="13"/>
          <w:rFonts w:hint="eastAsia" w:ascii="黑体" w:hAnsi="黑体" w:eastAsia="黑体" w:cs="黑体"/>
          <w:color w:val="auto"/>
          <w:sz w:val="32"/>
          <w:szCs w:val="32"/>
          <w:lang w:eastAsia="zh-CN"/>
        </w:rPr>
        <w:t>根据上述职责</w:t>
      </w:r>
      <w:r>
        <w:rPr>
          <w:rFonts w:hint="eastAsia" w:ascii="黑体" w:hAnsi="黑体" w:eastAsia="黑体" w:cs="黑体"/>
          <w:sz w:val="32"/>
          <w:szCs w:val="32"/>
          <w:lang w:eastAsia="zh-CN"/>
        </w:rPr>
        <w:t>，</w:t>
      </w:r>
      <w:r>
        <w:rPr>
          <w:rFonts w:hint="eastAsia" w:ascii="黑体" w:hAnsi="黑体" w:eastAsia="黑体" w:cs="黑体"/>
          <w:sz w:val="32"/>
          <w:szCs w:val="32"/>
        </w:rPr>
        <w:t>本单位内设校长室、办公室、总务室、教导室、少队部、保卫室、医务室</w:t>
      </w:r>
      <w:r>
        <w:rPr>
          <w:rFonts w:hint="eastAsia" w:ascii="黑体" w:hAnsi="黑体" w:eastAsia="黑体" w:cs="黑体"/>
          <w:sz w:val="32"/>
          <w:szCs w:val="32"/>
          <w:lang w:val="en-US" w:eastAsia="zh-CN"/>
        </w:rPr>
        <w:t>7</w:t>
      </w:r>
      <w:r>
        <w:rPr>
          <w:rFonts w:hint="eastAsia" w:ascii="黑体" w:hAnsi="黑体" w:eastAsia="黑体" w:cs="黑体"/>
          <w:sz w:val="32"/>
          <w:szCs w:val="32"/>
        </w:rPr>
        <w:t>个职能机构部门。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eastAsia="zh-CN"/>
        </w:rPr>
        <w:t>东方市红泉农场中心学校</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方正仿宋_GBK" w:hAnsi="方正仿宋_GBK" w:eastAsia="方正仿宋_GBK" w:cs="方正仿宋_GBK"/>
          <w:bCs/>
          <w:sz w:val="32"/>
          <w:szCs w:val="32"/>
          <w:lang w:eastAsia="zh-CN"/>
        </w:rPr>
        <w:t>此部分内容即为单位预算公开表，详见</w:t>
      </w:r>
      <w:r>
        <w:rPr>
          <w:rFonts w:hint="eastAsia" w:ascii="方正仿宋_GBK" w:hAnsi="方正仿宋_GBK" w:eastAsia="方正仿宋_GBK" w:cs="方正仿宋_GBK"/>
          <w:bCs/>
          <w:kern w:val="2"/>
          <w:sz w:val="32"/>
          <w:szCs w:val="32"/>
          <w:lang w:val="en-US" w:eastAsia="zh-CN" w:bidi="ar-SA"/>
        </w:rPr>
        <w:t>《2024年海南省东方市部门预算表》</w:t>
      </w:r>
      <w:r>
        <w:rPr>
          <w:rFonts w:hint="eastAsia" w:ascii="方正仿宋_GBK" w:hAnsi="方正仿宋_GBK" w:eastAsia="方正仿宋_GBK" w:cs="方正仿宋_GBK"/>
          <w:bCs/>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东方市红泉农场中心学校</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highlight w:val="none"/>
        </w:rPr>
      </w:pPr>
      <w:r>
        <w:rPr>
          <w:rFonts w:hint="eastAsia" w:ascii="黑体" w:hAnsi="黑体" w:eastAsia="黑体"/>
          <w:sz w:val="32"/>
          <w:szCs w:val="32"/>
          <w:highlight w:val="none"/>
        </w:rPr>
        <w:t>一、关于</w:t>
      </w:r>
      <w:r>
        <w:rPr>
          <w:rFonts w:hint="eastAsia" w:ascii="黑体" w:hAnsi="黑体" w:eastAsia="黑体"/>
          <w:sz w:val="32"/>
          <w:szCs w:val="32"/>
          <w:highlight w:val="none"/>
          <w:lang w:eastAsia="zh-CN"/>
        </w:rPr>
        <w:t>东方市红泉农场中心学校</w:t>
      </w:r>
      <w:r>
        <w:rPr>
          <w:rFonts w:hint="eastAsia" w:ascii="黑体" w:hAnsi="黑体" w:eastAsia="黑体"/>
          <w:sz w:val="32"/>
          <w:szCs w:val="32"/>
          <w:highlight w:val="none"/>
          <w:lang w:val="en-US" w:eastAsia="zh-CN"/>
        </w:rPr>
        <w:t>2024</w:t>
      </w:r>
      <w:r>
        <w:rPr>
          <w:rFonts w:hint="eastAsia" w:ascii="黑体" w:hAnsi="黑体" w:eastAsia="黑体"/>
          <w:sz w:val="32"/>
          <w:szCs w:val="32"/>
          <w:highlight w:val="none"/>
        </w:rPr>
        <w:t>年财政拨款收支预算情况的总体说明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highlight w:val="none"/>
        </w:rPr>
      </w:pPr>
      <w:r>
        <w:rPr>
          <w:rFonts w:hint="eastAsia" w:ascii="黑体" w:hAnsi="黑体" w:eastAsia="黑体"/>
          <w:sz w:val="32"/>
          <w:szCs w:val="32"/>
          <w:highlight w:val="none"/>
          <w:lang w:eastAsia="zh-CN"/>
        </w:rPr>
        <w:t>东方市红泉农场中心学校</w:t>
      </w:r>
      <w:r>
        <w:rPr>
          <w:rFonts w:hint="eastAsia" w:ascii="方正仿宋_GBK" w:hAnsi="方正仿宋_GBK" w:eastAsia="方正仿宋_GBK" w:cs="方正仿宋_GBK"/>
          <w:sz w:val="32"/>
          <w:szCs w:val="32"/>
          <w:highlight w:val="none"/>
          <w:lang w:val="en-US" w:eastAsia="zh-CN"/>
        </w:rPr>
        <w:t>2024</w:t>
      </w:r>
      <w:r>
        <w:rPr>
          <w:rFonts w:hint="eastAsia" w:ascii="方正仿宋_GBK" w:hAnsi="方正仿宋_GBK" w:eastAsia="方正仿宋_GBK" w:cs="方正仿宋_GBK"/>
          <w:sz w:val="32"/>
          <w:szCs w:val="32"/>
          <w:highlight w:val="none"/>
        </w:rPr>
        <w:t>年财政拨款收支总预算</w:t>
      </w:r>
      <w:r>
        <w:rPr>
          <w:rFonts w:hint="eastAsia" w:ascii="方正仿宋_GBK" w:hAnsi="方正仿宋_GBK" w:eastAsia="方正仿宋_GBK" w:cs="方正仿宋_GBK"/>
          <w:sz w:val="32"/>
          <w:szCs w:val="32"/>
          <w:highlight w:val="none"/>
          <w:lang w:val="en-US" w:eastAsia="zh-CN"/>
        </w:rPr>
        <w:t>948.15</w:t>
      </w:r>
      <w:r>
        <w:rPr>
          <w:rFonts w:hint="eastAsia" w:ascii="方正仿宋_GBK" w:hAnsi="方正仿宋_GBK" w:eastAsia="方正仿宋_GBK" w:cs="方正仿宋_GBK"/>
          <w:sz w:val="32"/>
          <w:szCs w:val="32"/>
          <w:highlight w:val="none"/>
        </w:rPr>
        <w:t>万元。其中，收入总计</w:t>
      </w:r>
      <w:r>
        <w:rPr>
          <w:rFonts w:hint="eastAsia" w:ascii="方正仿宋_GBK" w:hAnsi="方正仿宋_GBK" w:eastAsia="方正仿宋_GBK" w:cs="方正仿宋_GBK"/>
          <w:sz w:val="32"/>
          <w:szCs w:val="32"/>
          <w:highlight w:val="none"/>
          <w:lang w:val="en-US" w:eastAsia="zh-CN"/>
        </w:rPr>
        <w:t>948.15</w:t>
      </w:r>
      <w:r>
        <w:rPr>
          <w:rFonts w:hint="eastAsia" w:ascii="方正仿宋_GBK" w:hAnsi="方正仿宋_GBK" w:eastAsia="方正仿宋_GBK" w:cs="方正仿宋_GBK"/>
          <w:sz w:val="32"/>
          <w:szCs w:val="32"/>
          <w:highlight w:val="none"/>
        </w:rPr>
        <w:t>万元，包括一般公共预算本年收入</w:t>
      </w:r>
      <w:r>
        <w:rPr>
          <w:rFonts w:hint="eastAsia" w:ascii="方正仿宋_GBK" w:hAnsi="方正仿宋_GBK" w:eastAsia="方正仿宋_GBK" w:cs="方正仿宋_GBK"/>
          <w:sz w:val="32"/>
          <w:szCs w:val="32"/>
          <w:highlight w:val="none"/>
          <w:lang w:val="en-US" w:eastAsia="zh-CN"/>
        </w:rPr>
        <w:t>923.96</w:t>
      </w:r>
      <w:r>
        <w:rPr>
          <w:rFonts w:hint="eastAsia" w:ascii="方正仿宋_GBK" w:hAnsi="方正仿宋_GBK" w:eastAsia="方正仿宋_GBK" w:cs="方正仿宋_GBK"/>
          <w:sz w:val="32"/>
          <w:szCs w:val="32"/>
          <w:highlight w:val="none"/>
        </w:rPr>
        <w:t>万元、</w:t>
      </w:r>
      <w:r>
        <w:rPr>
          <w:rFonts w:hint="eastAsia" w:ascii="方正仿宋_GBK" w:hAnsi="方正仿宋_GBK" w:eastAsia="方正仿宋_GBK" w:cs="方正仿宋_GBK"/>
          <w:color w:val="auto"/>
          <w:sz w:val="32"/>
          <w:szCs w:val="32"/>
          <w:highlight w:val="none"/>
        </w:rPr>
        <w:t>一般公共预算上年结转</w:t>
      </w:r>
      <w:r>
        <w:rPr>
          <w:rFonts w:hint="eastAsia" w:ascii="方正仿宋_GBK" w:hAnsi="方正仿宋_GBK" w:eastAsia="方正仿宋_GBK" w:cs="方正仿宋_GBK"/>
          <w:color w:val="auto"/>
          <w:sz w:val="32"/>
          <w:szCs w:val="32"/>
          <w:highlight w:val="none"/>
          <w:lang w:val="en-US" w:eastAsia="zh-CN"/>
        </w:rPr>
        <w:t>17.19</w:t>
      </w:r>
      <w:r>
        <w:rPr>
          <w:rFonts w:hint="eastAsia" w:ascii="方正仿宋_GBK" w:hAnsi="方正仿宋_GBK" w:eastAsia="方正仿宋_GBK" w:cs="方正仿宋_GBK"/>
          <w:color w:val="auto"/>
          <w:sz w:val="32"/>
          <w:szCs w:val="32"/>
          <w:highlight w:val="none"/>
        </w:rPr>
        <w:t>万元</w:t>
      </w:r>
      <w:r>
        <w:rPr>
          <w:rFonts w:hint="eastAsia" w:ascii="方正仿宋_GBK" w:hAnsi="方正仿宋_GBK" w:eastAsia="方正仿宋_GBK" w:cs="方正仿宋_GBK"/>
          <w:sz w:val="32"/>
          <w:szCs w:val="32"/>
          <w:highlight w:val="none"/>
        </w:rPr>
        <w:t>，政府性基金预算本年收入</w:t>
      </w:r>
      <w:r>
        <w:rPr>
          <w:rFonts w:hint="eastAsia" w:ascii="方正仿宋_GBK" w:hAnsi="方正仿宋_GBK" w:eastAsia="方正仿宋_GBK" w:cs="方正仿宋_GBK"/>
          <w:sz w:val="32"/>
          <w:szCs w:val="32"/>
          <w:highlight w:val="none"/>
          <w:lang w:val="en-US" w:eastAsia="zh-CN"/>
        </w:rPr>
        <w:t>7</w:t>
      </w:r>
      <w:r>
        <w:rPr>
          <w:rFonts w:hint="eastAsia" w:ascii="方正仿宋_GBK" w:hAnsi="方正仿宋_GBK" w:eastAsia="方正仿宋_GBK" w:cs="方正仿宋_GBK"/>
          <w:sz w:val="32"/>
          <w:szCs w:val="32"/>
          <w:highlight w:val="none"/>
        </w:rPr>
        <w:t>万元、政府性基金预算</w:t>
      </w:r>
      <w:r>
        <w:rPr>
          <w:rFonts w:hint="eastAsia" w:ascii="方正仿宋_GBK" w:hAnsi="方正仿宋_GBK" w:eastAsia="方正仿宋_GBK" w:cs="方正仿宋_GBK"/>
          <w:color w:val="auto"/>
          <w:sz w:val="32"/>
          <w:szCs w:val="32"/>
          <w:highlight w:val="none"/>
        </w:rPr>
        <w:t>上年结转</w:t>
      </w:r>
      <w:r>
        <w:rPr>
          <w:rFonts w:hint="eastAsia" w:ascii="方正仿宋_GBK" w:hAnsi="方正仿宋_GBK" w:eastAsia="方正仿宋_GBK" w:cs="方正仿宋_GBK"/>
          <w:color w:val="auto"/>
          <w:sz w:val="32"/>
          <w:szCs w:val="32"/>
          <w:highlight w:val="none"/>
          <w:lang w:val="en-US" w:eastAsia="zh-CN"/>
        </w:rPr>
        <w:t>0</w:t>
      </w:r>
      <w:r>
        <w:rPr>
          <w:rFonts w:hint="eastAsia" w:ascii="方正仿宋_GBK" w:hAnsi="方正仿宋_GBK" w:eastAsia="方正仿宋_GBK" w:cs="方正仿宋_GBK"/>
          <w:color w:val="auto"/>
          <w:sz w:val="32"/>
          <w:szCs w:val="32"/>
          <w:highlight w:val="none"/>
        </w:rPr>
        <w:t>万元</w:t>
      </w:r>
      <w:r>
        <w:rPr>
          <w:rFonts w:hint="eastAsia" w:ascii="方正仿宋_GBK" w:hAnsi="方正仿宋_GBK" w:eastAsia="方正仿宋_GBK" w:cs="方正仿宋_GBK"/>
          <w:sz w:val="32"/>
          <w:szCs w:val="32"/>
          <w:highlight w:val="none"/>
        </w:rPr>
        <w:t>；支出总计</w:t>
      </w:r>
      <w:r>
        <w:rPr>
          <w:rFonts w:hint="eastAsia" w:ascii="方正仿宋_GBK" w:hAnsi="方正仿宋_GBK" w:eastAsia="方正仿宋_GBK" w:cs="方正仿宋_GBK"/>
          <w:sz w:val="32"/>
          <w:szCs w:val="32"/>
          <w:highlight w:val="none"/>
          <w:lang w:val="en-US" w:eastAsia="zh-CN"/>
        </w:rPr>
        <w:t>948.15</w:t>
      </w:r>
      <w:r>
        <w:rPr>
          <w:rFonts w:hint="eastAsia" w:ascii="方正仿宋_GBK" w:hAnsi="方正仿宋_GBK" w:eastAsia="方正仿宋_GBK" w:cs="方正仿宋_GBK"/>
          <w:sz w:val="32"/>
          <w:szCs w:val="32"/>
          <w:highlight w:val="none"/>
        </w:rPr>
        <w:t>万元，包括</w:t>
      </w:r>
      <w:r>
        <w:rPr>
          <w:rFonts w:hint="eastAsia" w:ascii="方正仿宋_GBK" w:hAnsi="方正仿宋_GBK" w:eastAsia="方正仿宋_GBK" w:cs="方正仿宋_GBK"/>
          <w:sz w:val="32"/>
          <w:szCs w:val="32"/>
          <w:highlight w:val="none"/>
          <w:lang w:eastAsia="zh-CN"/>
        </w:rPr>
        <w:t>教育</w:t>
      </w:r>
      <w:r>
        <w:rPr>
          <w:rFonts w:hint="eastAsia" w:ascii="方正仿宋_GBK" w:hAnsi="方正仿宋_GBK" w:eastAsia="方正仿宋_GBK" w:cs="方正仿宋_GBK"/>
          <w:sz w:val="32"/>
          <w:szCs w:val="32"/>
          <w:highlight w:val="none"/>
        </w:rPr>
        <w:t>支出</w:t>
      </w:r>
      <w:r>
        <w:rPr>
          <w:rFonts w:hint="eastAsia" w:ascii="方正仿宋_GBK" w:hAnsi="方正仿宋_GBK" w:eastAsia="方正仿宋_GBK" w:cs="方正仿宋_GBK"/>
          <w:sz w:val="32"/>
          <w:szCs w:val="32"/>
          <w:highlight w:val="none"/>
          <w:lang w:val="en-US" w:eastAsia="zh-CN"/>
        </w:rPr>
        <w:t>638.08</w:t>
      </w:r>
      <w:r>
        <w:rPr>
          <w:rFonts w:hint="eastAsia" w:ascii="方正仿宋_GBK" w:hAnsi="方正仿宋_GBK" w:eastAsia="方正仿宋_GBK" w:cs="方正仿宋_GBK"/>
          <w:sz w:val="32"/>
          <w:szCs w:val="32"/>
          <w:highlight w:val="none"/>
        </w:rPr>
        <w:t>万元、 社会保障和就业支出</w:t>
      </w:r>
      <w:r>
        <w:rPr>
          <w:rFonts w:hint="eastAsia" w:ascii="方正仿宋_GBK" w:hAnsi="方正仿宋_GBK" w:eastAsia="方正仿宋_GBK" w:cs="方正仿宋_GBK"/>
          <w:sz w:val="32"/>
          <w:szCs w:val="32"/>
          <w:highlight w:val="none"/>
          <w:lang w:val="en-US" w:eastAsia="zh-CN"/>
        </w:rPr>
        <w:t>118.04</w:t>
      </w:r>
      <w:r>
        <w:rPr>
          <w:rFonts w:hint="eastAsia" w:ascii="方正仿宋_GBK" w:hAnsi="方正仿宋_GBK" w:eastAsia="方正仿宋_GBK" w:cs="方正仿宋_GBK"/>
          <w:sz w:val="32"/>
          <w:szCs w:val="32"/>
          <w:highlight w:val="none"/>
        </w:rPr>
        <w:t>万元、 卫生健康支出</w:t>
      </w:r>
      <w:r>
        <w:rPr>
          <w:rFonts w:hint="eastAsia" w:ascii="方正仿宋_GBK" w:hAnsi="方正仿宋_GBK" w:eastAsia="方正仿宋_GBK" w:cs="方正仿宋_GBK"/>
          <w:sz w:val="32"/>
          <w:szCs w:val="32"/>
          <w:highlight w:val="none"/>
          <w:lang w:val="en-US" w:eastAsia="zh-CN"/>
        </w:rPr>
        <w:t>119.77万元，城乡社区支出7</w:t>
      </w:r>
      <w:r>
        <w:rPr>
          <w:rFonts w:hint="eastAsia" w:ascii="方正仿宋_GBK" w:hAnsi="方正仿宋_GBK" w:eastAsia="方正仿宋_GBK" w:cs="方正仿宋_GBK"/>
          <w:sz w:val="32"/>
          <w:szCs w:val="32"/>
          <w:highlight w:val="none"/>
        </w:rPr>
        <w:t>万元、</w:t>
      </w:r>
      <w:r>
        <w:rPr>
          <w:rFonts w:hint="eastAsia" w:ascii="方正仿宋_GBK" w:hAnsi="方正仿宋_GBK" w:eastAsia="方正仿宋_GBK" w:cs="方正仿宋_GBK"/>
          <w:sz w:val="32"/>
          <w:szCs w:val="32"/>
          <w:highlight w:val="none"/>
          <w:lang w:val="en-US" w:eastAsia="zh-CN"/>
        </w:rPr>
        <w:t>住房保障支出65.26</w:t>
      </w:r>
      <w:r>
        <w:rPr>
          <w:rFonts w:hint="eastAsia" w:ascii="方正仿宋_GBK" w:hAnsi="方正仿宋_GBK" w:eastAsia="方正仿宋_GBK" w:cs="方正仿宋_GBK"/>
          <w:sz w:val="32"/>
          <w:szCs w:val="32"/>
          <w:highlight w:val="none"/>
        </w:rPr>
        <w:t>万元。</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黑体" w:hAnsi="黑体" w:eastAsia="黑体"/>
          <w:sz w:val="32"/>
          <w:szCs w:val="32"/>
          <w:highlight w:val="none"/>
        </w:rPr>
      </w:pPr>
      <w:r>
        <w:rPr>
          <w:rFonts w:hint="eastAsia" w:ascii="黑体" w:hAnsi="黑体" w:eastAsia="黑体"/>
          <w:sz w:val="32"/>
          <w:szCs w:val="32"/>
          <w:highlight w:val="none"/>
        </w:rPr>
        <w:t>二、关于</w:t>
      </w:r>
      <w:r>
        <w:rPr>
          <w:rFonts w:hint="eastAsia" w:ascii="黑体" w:hAnsi="黑体" w:eastAsia="黑体"/>
          <w:sz w:val="32"/>
          <w:szCs w:val="32"/>
          <w:highlight w:val="none"/>
          <w:lang w:eastAsia="zh-CN"/>
        </w:rPr>
        <w:t>东方市红泉农场中心学校</w:t>
      </w:r>
      <w:r>
        <w:rPr>
          <w:rFonts w:hint="eastAsia" w:ascii="黑体" w:hAnsi="黑体" w:eastAsia="黑体"/>
          <w:sz w:val="32"/>
          <w:szCs w:val="32"/>
          <w:highlight w:val="none"/>
          <w:lang w:val="en-US" w:eastAsia="zh-CN"/>
        </w:rPr>
        <w:t>2024</w:t>
      </w:r>
      <w:r>
        <w:rPr>
          <w:rFonts w:hint="eastAsia" w:ascii="黑体" w:hAnsi="黑体" w:eastAsia="黑体"/>
          <w:sz w:val="32"/>
          <w:szCs w:val="32"/>
          <w:highlight w:val="none"/>
        </w:rPr>
        <w:t>年一般公共预算当年拨款情况说明</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方正楷体_GBK" w:hAnsi="方正楷体_GBK" w:eastAsia="方正楷体_GBK" w:cs="方正楷体_GBK"/>
          <w:b/>
          <w:bCs/>
          <w:sz w:val="32"/>
          <w:szCs w:val="32"/>
          <w:highlight w:val="none"/>
        </w:rPr>
      </w:pPr>
      <w:r>
        <w:rPr>
          <w:rFonts w:hint="eastAsia" w:ascii="方正楷体_GBK" w:hAnsi="方正楷体_GBK" w:eastAsia="方正楷体_GBK" w:cs="方正楷体_GBK"/>
          <w:b/>
          <w:bCs/>
          <w:sz w:val="32"/>
          <w:szCs w:val="32"/>
          <w:highlight w:val="none"/>
        </w:rPr>
        <w:t>（一）一般公共预算当年规模变化情况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黑体" w:hAnsi="黑体" w:eastAsia="黑体"/>
          <w:sz w:val="32"/>
          <w:szCs w:val="32"/>
          <w:highlight w:val="none"/>
          <w:lang w:eastAsia="zh-CN"/>
        </w:rPr>
        <w:t>东方市红泉农场中心学校</w:t>
      </w:r>
      <w:r>
        <w:rPr>
          <w:rFonts w:hint="eastAsia" w:ascii="方正仿宋_GBK" w:hAnsi="方正仿宋_GBK" w:eastAsia="方正仿宋_GBK" w:cs="方正仿宋_GBK"/>
          <w:sz w:val="32"/>
          <w:szCs w:val="32"/>
          <w:highlight w:val="none"/>
          <w:lang w:val="en-US" w:eastAsia="zh-CN"/>
        </w:rPr>
        <w:t>2024</w:t>
      </w:r>
      <w:r>
        <w:rPr>
          <w:rFonts w:hint="eastAsia" w:ascii="方正仿宋_GBK" w:hAnsi="方正仿宋_GBK" w:eastAsia="方正仿宋_GBK" w:cs="方正仿宋_GBK"/>
          <w:sz w:val="32"/>
          <w:szCs w:val="32"/>
          <w:highlight w:val="none"/>
        </w:rPr>
        <w:t>年一般公共预算当年拨款</w:t>
      </w:r>
      <w:r>
        <w:rPr>
          <w:rFonts w:hint="eastAsia" w:ascii="方正仿宋_GBK" w:hAnsi="方正仿宋_GBK" w:eastAsia="方正仿宋_GBK" w:cs="方正仿宋_GBK"/>
          <w:sz w:val="32"/>
          <w:szCs w:val="32"/>
          <w:highlight w:val="none"/>
          <w:lang w:val="en-US" w:eastAsia="zh-CN"/>
        </w:rPr>
        <w:t>941.15</w:t>
      </w:r>
      <w:r>
        <w:rPr>
          <w:rFonts w:hint="eastAsia" w:ascii="方正仿宋_GBK" w:hAnsi="方正仿宋_GBK" w:eastAsia="方正仿宋_GBK" w:cs="方正仿宋_GBK"/>
          <w:sz w:val="32"/>
          <w:szCs w:val="32"/>
          <w:highlight w:val="none"/>
        </w:rPr>
        <w:t>万元</w:t>
      </w:r>
      <w:r>
        <w:rPr>
          <w:rFonts w:hint="eastAsia" w:ascii="方正仿宋_GBK" w:hAnsi="方正仿宋_GBK" w:eastAsia="方正仿宋_GBK" w:cs="方正仿宋_GBK"/>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方正楷体_GBK" w:hAnsi="方正楷体_GBK" w:eastAsia="方正楷体_GBK" w:cs="方正楷体_GBK"/>
          <w:b/>
          <w:bCs/>
          <w:sz w:val="32"/>
          <w:szCs w:val="32"/>
          <w:highlight w:val="none"/>
        </w:rPr>
      </w:pPr>
      <w:r>
        <w:rPr>
          <w:rFonts w:hint="eastAsia" w:ascii="方正楷体_GBK" w:hAnsi="方正楷体_GBK" w:eastAsia="方正楷体_GBK" w:cs="方正楷体_GBK"/>
          <w:b/>
          <w:bCs/>
          <w:sz w:val="32"/>
          <w:szCs w:val="32"/>
          <w:highlight w:val="none"/>
        </w:rPr>
        <w:t>（二）一般公共预算当年拨款结构情况</w:t>
      </w:r>
    </w:p>
    <w:p>
      <w:pPr>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rPr>
        <w:t>教育（类）支出</w:t>
      </w:r>
      <w:r>
        <w:rPr>
          <w:rFonts w:hint="eastAsia" w:ascii="方正仿宋_GBK" w:hAnsi="方正仿宋_GBK" w:eastAsia="方正仿宋_GBK" w:cs="方正仿宋_GBK"/>
          <w:sz w:val="32"/>
          <w:szCs w:val="32"/>
          <w:highlight w:val="none"/>
          <w:lang w:val="en-US" w:eastAsia="zh-CN"/>
        </w:rPr>
        <w:t>638.08</w:t>
      </w:r>
      <w:r>
        <w:rPr>
          <w:rFonts w:hint="eastAsia" w:ascii="方正仿宋_GBK" w:hAnsi="方正仿宋_GBK" w:eastAsia="方正仿宋_GBK" w:cs="方正仿宋_GBK"/>
          <w:sz w:val="32"/>
          <w:szCs w:val="32"/>
          <w:highlight w:val="none"/>
        </w:rPr>
        <w:t>万元，占</w:t>
      </w:r>
      <w:r>
        <w:rPr>
          <w:rFonts w:hint="eastAsia" w:ascii="方正仿宋_GBK" w:hAnsi="方正仿宋_GBK" w:eastAsia="方正仿宋_GBK" w:cs="方正仿宋_GBK"/>
          <w:sz w:val="32"/>
          <w:szCs w:val="32"/>
          <w:highlight w:val="none"/>
          <w:lang w:val="en-US" w:eastAsia="zh-CN"/>
        </w:rPr>
        <w:t>67.81</w:t>
      </w:r>
      <w:r>
        <w:rPr>
          <w:rFonts w:hint="eastAsia" w:ascii="方正仿宋_GBK" w:hAnsi="方正仿宋_GBK" w:eastAsia="方正仿宋_GBK" w:cs="方正仿宋_GBK"/>
          <w:sz w:val="32"/>
          <w:szCs w:val="32"/>
          <w:highlight w:val="none"/>
        </w:rPr>
        <w:t>%；社会保障和就业（类）支出</w:t>
      </w:r>
      <w:r>
        <w:rPr>
          <w:rFonts w:hint="eastAsia" w:ascii="方正仿宋_GBK" w:hAnsi="方正仿宋_GBK" w:eastAsia="方正仿宋_GBK" w:cs="方正仿宋_GBK"/>
          <w:sz w:val="32"/>
          <w:szCs w:val="32"/>
          <w:highlight w:val="none"/>
          <w:lang w:val="en-US" w:eastAsia="zh-CN"/>
        </w:rPr>
        <w:t>118.04</w:t>
      </w:r>
      <w:r>
        <w:rPr>
          <w:rFonts w:hint="eastAsia" w:ascii="方正仿宋_GBK" w:hAnsi="方正仿宋_GBK" w:eastAsia="方正仿宋_GBK" w:cs="方正仿宋_GBK"/>
          <w:sz w:val="32"/>
          <w:szCs w:val="32"/>
          <w:highlight w:val="none"/>
        </w:rPr>
        <w:t>万元，占</w:t>
      </w:r>
      <w:r>
        <w:rPr>
          <w:rFonts w:hint="eastAsia" w:ascii="方正仿宋_GBK" w:hAnsi="方正仿宋_GBK" w:eastAsia="方正仿宋_GBK" w:cs="方正仿宋_GBK"/>
          <w:sz w:val="32"/>
          <w:szCs w:val="32"/>
          <w:highlight w:val="none"/>
          <w:lang w:val="en-US" w:eastAsia="zh-CN"/>
        </w:rPr>
        <w:t>12.53</w:t>
      </w:r>
      <w:r>
        <w:rPr>
          <w:rFonts w:hint="eastAsia" w:ascii="方正仿宋_GBK" w:hAnsi="方正仿宋_GBK" w:eastAsia="方正仿宋_GBK" w:cs="方正仿宋_GBK"/>
          <w:sz w:val="32"/>
          <w:szCs w:val="32"/>
          <w:highlight w:val="none"/>
        </w:rPr>
        <w:t>%；卫生健康（类）支出</w:t>
      </w:r>
      <w:r>
        <w:rPr>
          <w:rFonts w:hint="eastAsia" w:ascii="方正仿宋_GBK" w:hAnsi="方正仿宋_GBK" w:eastAsia="方正仿宋_GBK" w:cs="方正仿宋_GBK"/>
          <w:sz w:val="32"/>
          <w:szCs w:val="32"/>
          <w:highlight w:val="none"/>
          <w:lang w:val="en-US" w:eastAsia="zh-CN"/>
        </w:rPr>
        <w:t>119.77</w:t>
      </w:r>
      <w:r>
        <w:rPr>
          <w:rFonts w:hint="eastAsia" w:ascii="方正仿宋_GBK" w:hAnsi="方正仿宋_GBK" w:eastAsia="方正仿宋_GBK" w:cs="方正仿宋_GBK"/>
          <w:sz w:val="32"/>
          <w:szCs w:val="32"/>
          <w:highlight w:val="none"/>
        </w:rPr>
        <w:t>万元，占</w:t>
      </w:r>
      <w:r>
        <w:rPr>
          <w:rFonts w:hint="eastAsia" w:ascii="方正仿宋_GBK" w:hAnsi="方正仿宋_GBK" w:eastAsia="方正仿宋_GBK" w:cs="方正仿宋_GBK"/>
          <w:sz w:val="32"/>
          <w:szCs w:val="32"/>
          <w:highlight w:val="none"/>
          <w:lang w:val="en-US" w:eastAsia="zh-CN"/>
        </w:rPr>
        <w:t>12.73</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住房保障（类）支出</w:t>
      </w:r>
      <w:r>
        <w:rPr>
          <w:rFonts w:hint="eastAsia" w:ascii="方正仿宋_GBK" w:hAnsi="方正仿宋_GBK" w:eastAsia="方正仿宋_GBK" w:cs="方正仿宋_GBK"/>
          <w:sz w:val="32"/>
          <w:szCs w:val="32"/>
          <w:highlight w:val="none"/>
          <w:lang w:val="en-US" w:eastAsia="zh-CN"/>
        </w:rPr>
        <w:t>65.26</w:t>
      </w:r>
      <w:r>
        <w:rPr>
          <w:rFonts w:hint="eastAsia" w:ascii="方正仿宋_GBK" w:hAnsi="方正仿宋_GBK" w:eastAsia="方正仿宋_GBK" w:cs="方正仿宋_GBK"/>
          <w:sz w:val="32"/>
          <w:szCs w:val="32"/>
          <w:highlight w:val="none"/>
        </w:rPr>
        <w:t>万元，占</w:t>
      </w:r>
      <w:r>
        <w:rPr>
          <w:rFonts w:hint="eastAsia" w:ascii="方正仿宋_GBK" w:hAnsi="方正仿宋_GBK" w:eastAsia="方正仿宋_GBK" w:cs="方正仿宋_GBK"/>
          <w:sz w:val="32"/>
          <w:szCs w:val="32"/>
          <w:highlight w:val="none"/>
          <w:lang w:val="en-US" w:eastAsia="zh-CN"/>
        </w:rPr>
        <w:t>6.93</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方正楷体_GBK" w:hAnsi="方正楷体_GBK" w:eastAsia="方正楷体_GBK" w:cs="方正楷体_GBK"/>
          <w:b/>
          <w:bCs/>
          <w:sz w:val="32"/>
          <w:szCs w:val="32"/>
          <w:highlight w:val="none"/>
        </w:rPr>
      </w:pPr>
      <w:r>
        <w:rPr>
          <w:rFonts w:hint="eastAsia" w:ascii="方正楷体_GBK" w:hAnsi="方正楷体_GBK" w:eastAsia="方正楷体_GBK" w:cs="方正楷体_GBK"/>
          <w:b/>
          <w:bCs/>
          <w:sz w:val="32"/>
          <w:szCs w:val="32"/>
          <w:highlight w:val="none"/>
        </w:rPr>
        <w:t>（三）一般公共预算当年拨款具体使用情况</w:t>
      </w:r>
    </w:p>
    <w:p>
      <w:pPr>
        <w:pStyle w:val="4"/>
        <w:widowControl/>
        <w:spacing w:line="58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1..教育支出（类）教育管理事务（款）其他教育管理事务支出（项）202</w:t>
      </w:r>
      <w:r>
        <w:rPr>
          <w:rFonts w:hint="eastAsia" w:ascii="黑体" w:hAnsi="黑体" w:eastAsia="黑体" w:cs="黑体"/>
          <w:color w:val="auto"/>
          <w:sz w:val="32"/>
          <w:szCs w:val="32"/>
          <w:highlight w:val="none"/>
          <w:lang w:val="en-US" w:eastAsia="zh-CN"/>
        </w:rPr>
        <w:t>4</w:t>
      </w:r>
      <w:r>
        <w:rPr>
          <w:rFonts w:hint="eastAsia" w:ascii="黑体" w:hAnsi="黑体" w:eastAsia="黑体" w:cs="黑体"/>
          <w:color w:val="auto"/>
          <w:sz w:val="32"/>
          <w:szCs w:val="32"/>
          <w:highlight w:val="none"/>
        </w:rPr>
        <w:t>年预算数为</w:t>
      </w:r>
      <w:r>
        <w:rPr>
          <w:rFonts w:hint="eastAsia" w:ascii="黑体" w:hAnsi="黑体" w:eastAsia="黑体" w:cs="黑体"/>
          <w:color w:val="auto"/>
          <w:sz w:val="32"/>
          <w:szCs w:val="32"/>
          <w:highlight w:val="none"/>
          <w:lang w:val="en-US" w:eastAsia="zh-CN"/>
        </w:rPr>
        <w:t>1.00</w:t>
      </w:r>
      <w:r>
        <w:rPr>
          <w:rFonts w:hint="eastAsia" w:ascii="黑体" w:hAnsi="黑体" w:eastAsia="黑体" w:cs="黑体"/>
          <w:color w:val="auto"/>
          <w:sz w:val="32"/>
          <w:szCs w:val="32"/>
          <w:highlight w:val="none"/>
          <w:lang w:eastAsia="zh-CN"/>
        </w:rPr>
        <w:t>万</w:t>
      </w:r>
      <w:r>
        <w:rPr>
          <w:rFonts w:hint="eastAsia" w:ascii="黑体" w:hAnsi="黑体" w:eastAsia="黑体" w:cs="黑体"/>
          <w:color w:val="auto"/>
          <w:sz w:val="32"/>
          <w:szCs w:val="32"/>
          <w:highlight w:val="none"/>
        </w:rPr>
        <w:t>元。</w:t>
      </w:r>
    </w:p>
    <w:p>
      <w:pPr>
        <w:pStyle w:val="4"/>
        <w:widowControl/>
        <w:spacing w:line="580" w:lineRule="exact"/>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2、教育支出</w:t>
      </w:r>
      <w:r>
        <w:rPr>
          <w:rFonts w:hint="eastAsia" w:ascii="黑体" w:hAnsi="黑体" w:eastAsia="黑体" w:cs="黑体"/>
          <w:color w:val="auto"/>
          <w:sz w:val="32"/>
          <w:szCs w:val="32"/>
          <w:highlight w:val="none"/>
        </w:rPr>
        <w:t>（类）普通教育（款）小学教育（项）</w:t>
      </w:r>
      <w:r>
        <w:rPr>
          <w:rFonts w:hint="eastAsia" w:ascii="黑体" w:hAnsi="黑体" w:eastAsia="黑体" w:cs="黑体"/>
          <w:color w:val="auto"/>
          <w:sz w:val="32"/>
          <w:szCs w:val="32"/>
          <w:highlight w:val="none"/>
          <w:lang w:val="en-US" w:eastAsia="zh-CN"/>
        </w:rPr>
        <w:t>637.08</w:t>
      </w:r>
      <w:r>
        <w:rPr>
          <w:rFonts w:hint="eastAsia" w:ascii="黑体" w:hAnsi="黑体" w:eastAsia="黑体" w:cs="黑体"/>
          <w:color w:val="auto"/>
          <w:sz w:val="32"/>
          <w:szCs w:val="32"/>
          <w:highlight w:val="none"/>
          <w:lang w:eastAsia="zh-CN"/>
        </w:rPr>
        <w:t>万</w:t>
      </w:r>
      <w:r>
        <w:rPr>
          <w:rFonts w:hint="eastAsia" w:ascii="黑体" w:hAnsi="黑体" w:eastAsia="黑体" w:cs="黑体"/>
          <w:color w:val="auto"/>
          <w:sz w:val="32"/>
          <w:szCs w:val="32"/>
          <w:highlight w:val="none"/>
        </w:rPr>
        <w:t>元</w:t>
      </w:r>
      <w:r>
        <w:rPr>
          <w:rFonts w:hint="eastAsia" w:ascii="黑体" w:hAnsi="黑体" w:eastAsia="黑体" w:cs="黑体"/>
          <w:color w:val="auto"/>
          <w:sz w:val="32"/>
          <w:szCs w:val="32"/>
          <w:highlight w:val="none"/>
          <w:lang w:eastAsia="zh-CN"/>
        </w:rPr>
        <w:t>。</w:t>
      </w:r>
    </w:p>
    <w:p>
      <w:pPr>
        <w:pStyle w:val="4"/>
        <w:widowControl/>
        <w:spacing w:line="58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3、</w:t>
      </w:r>
      <w:r>
        <w:rPr>
          <w:rFonts w:hint="eastAsia" w:ascii="黑体" w:hAnsi="黑体" w:eastAsia="黑体" w:cs="黑体"/>
          <w:color w:val="auto"/>
          <w:sz w:val="32"/>
          <w:szCs w:val="32"/>
          <w:highlight w:val="none"/>
        </w:rPr>
        <w:t>社会保障和就业支出（类）行政事业单位养老支出（款）机关事业单位基本养老保险缴费支出（项）202</w:t>
      </w:r>
      <w:r>
        <w:rPr>
          <w:rFonts w:hint="eastAsia" w:ascii="黑体" w:hAnsi="黑体" w:eastAsia="黑体" w:cs="黑体"/>
          <w:color w:val="auto"/>
          <w:sz w:val="32"/>
          <w:szCs w:val="32"/>
          <w:highlight w:val="none"/>
          <w:lang w:val="en-US" w:eastAsia="zh-CN"/>
        </w:rPr>
        <w:t>4</w:t>
      </w:r>
      <w:r>
        <w:rPr>
          <w:rFonts w:hint="eastAsia" w:ascii="黑体" w:hAnsi="黑体" w:eastAsia="黑体" w:cs="黑体"/>
          <w:color w:val="auto"/>
          <w:sz w:val="32"/>
          <w:szCs w:val="32"/>
          <w:highlight w:val="none"/>
        </w:rPr>
        <w:t>年预算数为</w:t>
      </w:r>
      <w:r>
        <w:rPr>
          <w:rFonts w:hint="eastAsia" w:ascii="黑体" w:hAnsi="黑体" w:eastAsia="黑体" w:cs="黑体"/>
          <w:color w:val="auto"/>
          <w:sz w:val="32"/>
          <w:szCs w:val="32"/>
          <w:highlight w:val="none"/>
          <w:lang w:val="en-US" w:eastAsia="zh-CN"/>
        </w:rPr>
        <w:t>74.19</w:t>
      </w:r>
      <w:r>
        <w:rPr>
          <w:rFonts w:hint="eastAsia" w:ascii="黑体" w:hAnsi="黑体" w:eastAsia="黑体" w:cs="黑体"/>
          <w:color w:val="auto"/>
          <w:sz w:val="32"/>
          <w:szCs w:val="32"/>
          <w:highlight w:val="none"/>
        </w:rPr>
        <w:t>万元。</w:t>
      </w:r>
    </w:p>
    <w:p>
      <w:pPr>
        <w:pStyle w:val="4"/>
        <w:widowControl/>
        <w:spacing w:line="58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4、</w:t>
      </w:r>
      <w:r>
        <w:rPr>
          <w:rFonts w:hint="eastAsia" w:ascii="黑体" w:hAnsi="黑体" w:eastAsia="黑体" w:cs="黑体"/>
          <w:color w:val="auto"/>
          <w:sz w:val="32"/>
          <w:szCs w:val="32"/>
          <w:highlight w:val="none"/>
        </w:rPr>
        <w:t>社会保障和就业支出（类）行政事业单位养老（款）机关事业单位职业年金缴费支出（项）202</w:t>
      </w:r>
      <w:r>
        <w:rPr>
          <w:rFonts w:hint="eastAsia" w:ascii="黑体" w:hAnsi="黑体" w:eastAsia="黑体" w:cs="黑体"/>
          <w:color w:val="auto"/>
          <w:sz w:val="32"/>
          <w:szCs w:val="32"/>
          <w:highlight w:val="none"/>
          <w:lang w:val="en-US" w:eastAsia="zh-CN"/>
        </w:rPr>
        <w:t>4</w:t>
      </w:r>
      <w:r>
        <w:rPr>
          <w:rFonts w:hint="eastAsia" w:ascii="黑体" w:hAnsi="黑体" w:eastAsia="黑体" w:cs="黑体"/>
          <w:color w:val="auto"/>
          <w:sz w:val="32"/>
          <w:szCs w:val="32"/>
          <w:highlight w:val="none"/>
        </w:rPr>
        <w:t>年预算数为</w:t>
      </w:r>
      <w:r>
        <w:rPr>
          <w:rFonts w:hint="eastAsia" w:ascii="黑体" w:hAnsi="黑体" w:eastAsia="黑体" w:cs="黑体"/>
          <w:color w:val="auto"/>
          <w:sz w:val="32"/>
          <w:szCs w:val="32"/>
          <w:highlight w:val="none"/>
          <w:lang w:val="en-US" w:eastAsia="zh-CN"/>
        </w:rPr>
        <w:t>43.31</w:t>
      </w:r>
      <w:r>
        <w:rPr>
          <w:rFonts w:hint="eastAsia" w:ascii="黑体" w:hAnsi="黑体" w:eastAsia="黑体" w:cs="黑体"/>
          <w:color w:val="auto"/>
          <w:sz w:val="32"/>
          <w:szCs w:val="32"/>
          <w:highlight w:val="none"/>
        </w:rPr>
        <w:t>万元。</w:t>
      </w:r>
    </w:p>
    <w:p>
      <w:pPr>
        <w:pStyle w:val="4"/>
        <w:widowControl/>
        <w:spacing w:line="58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5、</w:t>
      </w:r>
      <w:r>
        <w:rPr>
          <w:rFonts w:hint="eastAsia" w:ascii="黑体" w:hAnsi="黑体" w:eastAsia="黑体" w:cs="黑体"/>
          <w:color w:val="auto"/>
          <w:sz w:val="32"/>
          <w:szCs w:val="32"/>
          <w:highlight w:val="none"/>
        </w:rPr>
        <w:t>社会保障和就业支出（类）</w:t>
      </w:r>
      <w:r>
        <w:rPr>
          <w:rFonts w:hint="eastAsia" w:ascii="黑体" w:hAnsi="黑体" w:eastAsia="黑体" w:cs="黑体"/>
          <w:color w:val="auto"/>
          <w:sz w:val="32"/>
          <w:szCs w:val="32"/>
          <w:highlight w:val="none"/>
          <w:lang w:eastAsia="zh-CN"/>
        </w:rPr>
        <w:t>抚恤</w:t>
      </w:r>
      <w:r>
        <w:rPr>
          <w:rFonts w:hint="eastAsia" w:ascii="黑体" w:hAnsi="黑体" w:eastAsia="黑体" w:cs="黑体"/>
          <w:color w:val="auto"/>
          <w:sz w:val="32"/>
          <w:szCs w:val="32"/>
          <w:highlight w:val="none"/>
          <w:lang w:val="en-US" w:eastAsia="zh-CN"/>
        </w:rPr>
        <w:t>（款）</w:t>
      </w:r>
      <w:r>
        <w:rPr>
          <w:rFonts w:hint="eastAsia" w:ascii="黑体" w:hAnsi="黑体" w:eastAsia="黑体" w:cs="黑体"/>
          <w:color w:val="auto"/>
          <w:sz w:val="32"/>
          <w:szCs w:val="32"/>
          <w:highlight w:val="none"/>
          <w:lang w:eastAsia="zh-CN"/>
        </w:rPr>
        <w:t>其他优抚支出</w:t>
      </w:r>
      <w:r>
        <w:rPr>
          <w:rFonts w:hint="eastAsia" w:ascii="黑体" w:hAnsi="黑体" w:eastAsia="黑体" w:cs="黑体"/>
          <w:color w:val="auto"/>
          <w:sz w:val="32"/>
          <w:szCs w:val="32"/>
          <w:highlight w:val="none"/>
        </w:rPr>
        <w:t>（项）</w:t>
      </w:r>
      <w:r>
        <w:rPr>
          <w:rFonts w:hint="eastAsia" w:ascii="黑体" w:hAnsi="黑体" w:eastAsia="黑体" w:cs="黑体"/>
          <w:color w:val="auto"/>
          <w:sz w:val="32"/>
          <w:szCs w:val="32"/>
          <w:highlight w:val="none"/>
          <w:lang w:val="en-US" w:eastAsia="zh-CN"/>
        </w:rPr>
        <w:t>2024年预算数为0.54</w:t>
      </w:r>
      <w:r>
        <w:rPr>
          <w:rFonts w:hint="eastAsia" w:ascii="黑体" w:hAnsi="黑体" w:eastAsia="黑体" w:cs="黑体"/>
          <w:color w:val="auto"/>
          <w:sz w:val="32"/>
          <w:szCs w:val="32"/>
          <w:highlight w:val="none"/>
        </w:rPr>
        <w:t>万元。</w:t>
      </w:r>
    </w:p>
    <w:p>
      <w:pPr>
        <w:pStyle w:val="4"/>
        <w:widowControl/>
        <w:spacing w:line="580" w:lineRule="exact"/>
        <w:ind w:firstLine="640" w:firstLineChars="200"/>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val="en-US" w:eastAsia="zh-CN"/>
        </w:rPr>
        <w:t>6、</w:t>
      </w:r>
      <w:r>
        <w:rPr>
          <w:rFonts w:hint="eastAsia" w:ascii="黑体" w:hAnsi="黑体" w:eastAsia="黑体" w:cs="黑体"/>
          <w:color w:val="auto"/>
          <w:sz w:val="32"/>
          <w:szCs w:val="32"/>
          <w:highlight w:val="none"/>
        </w:rPr>
        <w:t>卫生健康支出（类）行政事业单位医疗（款）公务员医疗补助（项）</w:t>
      </w:r>
      <w:r>
        <w:rPr>
          <w:rFonts w:hint="eastAsia" w:ascii="黑体" w:hAnsi="黑体" w:eastAsia="黑体" w:cs="黑体"/>
          <w:color w:val="auto"/>
          <w:sz w:val="32"/>
          <w:szCs w:val="32"/>
          <w:highlight w:val="none"/>
          <w:lang w:val="en-US" w:eastAsia="zh-CN"/>
        </w:rPr>
        <w:t>2024年预算数为34.49</w:t>
      </w:r>
      <w:r>
        <w:rPr>
          <w:rFonts w:hint="eastAsia" w:ascii="黑体" w:hAnsi="黑体" w:eastAsia="黑体" w:cs="黑体"/>
          <w:color w:val="auto"/>
          <w:sz w:val="32"/>
          <w:szCs w:val="32"/>
          <w:highlight w:val="none"/>
        </w:rPr>
        <w:t>万元</w:t>
      </w:r>
      <w:r>
        <w:rPr>
          <w:rFonts w:hint="eastAsia" w:ascii="黑体" w:hAnsi="黑体" w:eastAsia="黑体" w:cs="黑体"/>
          <w:color w:val="auto"/>
          <w:sz w:val="32"/>
          <w:szCs w:val="32"/>
          <w:highlight w:val="none"/>
          <w:lang w:eastAsia="zh-CN"/>
        </w:rPr>
        <w:t>。</w:t>
      </w:r>
    </w:p>
    <w:p>
      <w:pPr>
        <w:pStyle w:val="4"/>
        <w:widowControl/>
        <w:spacing w:line="580" w:lineRule="exac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7、</w:t>
      </w:r>
      <w:r>
        <w:rPr>
          <w:rFonts w:hint="eastAsia" w:ascii="黑体" w:hAnsi="黑体" w:eastAsia="黑体" w:cs="黑体"/>
          <w:color w:val="auto"/>
          <w:sz w:val="32"/>
          <w:szCs w:val="32"/>
          <w:highlight w:val="none"/>
        </w:rPr>
        <w:t>卫生健康支出（类）行政事业单位医疗（款）公务员医疗补助（项）</w:t>
      </w:r>
      <w:r>
        <w:rPr>
          <w:rFonts w:hint="eastAsia" w:ascii="黑体" w:hAnsi="黑体" w:eastAsia="黑体" w:cs="黑体"/>
          <w:color w:val="auto"/>
          <w:sz w:val="32"/>
          <w:szCs w:val="32"/>
          <w:highlight w:val="none"/>
          <w:lang w:val="en-US" w:eastAsia="zh-CN"/>
        </w:rPr>
        <w:t>2024年预算数为85.28</w:t>
      </w:r>
      <w:r>
        <w:rPr>
          <w:rFonts w:hint="eastAsia" w:ascii="黑体" w:hAnsi="黑体" w:eastAsia="黑体" w:cs="黑体"/>
          <w:color w:val="auto"/>
          <w:sz w:val="32"/>
          <w:szCs w:val="32"/>
          <w:highlight w:val="none"/>
        </w:rPr>
        <w:t>万元。</w:t>
      </w:r>
    </w:p>
    <w:p>
      <w:pPr>
        <w:pStyle w:val="4"/>
        <w:widowControl/>
        <w:spacing w:line="580" w:lineRule="exact"/>
        <w:ind w:firstLine="640" w:firstLineChars="200"/>
        <w:rPr>
          <w:rFonts w:ascii="方正仿宋_GBK" w:hAnsi="方正仿宋_GBK" w:eastAsia="方正仿宋_GBK" w:cs="方正仿宋_GBK"/>
          <w:color w:val="auto"/>
          <w:sz w:val="32"/>
          <w:szCs w:val="32"/>
          <w:highlight w:val="none"/>
        </w:rPr>
      </w:pPr>
      <w:r>
        <w:rPr>
          <w:rFonts w:hint="eastAsia" w:ascii="黑体" w:hAnsi="黑体" w:eastAsia="黑体" w:cs="黑体"/>
          <w:color w:val="auto"/>
          <w:sz w:val="32"/>
          <w:szCs w:val="32"/>
          <w:highlight w:val="none"/>
          <w:lang w:val="en-US" w:eastAsia="zh-CN"/>
        </w:rPr>
        <w:t>8、</w:t>
      </w:r>
      <w:r>
        <w:rPr>
          <w:rFonts w:hint="eastAsia" w:ascii="黑体" w:hAnsi="黑体" w:eastAsia="黑体" w:cs="黑体"/>
          <w:color w:val="auto"/>
          <w:sz w:val="32"/>
          <w:szCs w:val="32"/>
          <w:highlight w:val="none"/>
        </w:rPr>
        <w:t>住房保障支出（类）住房改革支出（款）住房公积金（项）</w:t>
      </w:r>
      <w:r>
        <w:rPr>
          <w:rFonts w:hint="eastAsia" w:ascii="黑体" w:hAnsi="黑体" w:eastAsia="黑体" w:cs="黑体"/>
          <w:color w:val="auto"/>
          <w:sz w:val="32"/>
          <w:szCs w:val="32"/>
          <w:highlight w:val="none"/>
          <w:lang w:val="en-US" w:eastAsia="zh-CN"/>
        </w:rPr>
        <w:t>2024年预算数为65.26</w:t>
      </w:r>
      <w:r>
        <w:rPr>
          <w:rFonts w:hint="eastAsia" w:ascii="黑体" w:hAnsi="黑体" w:eastAsia="黑体" w:cs="黑体"/>
          <w:color w:val="auto"/>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sz w:val="32"/>
          <w:szCs w:val="32"/>
          <w:highlight w:val="none"/>
        </w:rPr>
      </w:pPr>
      <w:r>
        <w:rPr>
          <w:rFonts w:hint="eastAsia" w:ascii="黑体" w:hAnsi="黑体" w:eastAsia="黑体"/>
          <w:sz w:val="32"/>
          <w:szCs w:val="32"/>
          <w:highlight w:val="none"/>
        </w:rPr>
        <w:t>三、关于</w:t>
      </w:r>
      <w:r>
        <w:rPr>
          <w:rFonts w:hint="eastAsia" w:ascii="黑体" w:hAnsi="黑体" w:eastAsia="黑体"/>
          <w:sz w:val="32"/>
          <w:szCs w:val="32"/>
          <w:highlight w:val="none"/>
          <w:lang w:eastAsia="zh-CN"/>
        </w:rPr>
        <w:t>东方市红泉农场中心学校</w:t>
      </w:r>
      <w:r>
        <w:rPr>
          <w:rFonts w:hint="eastAsia" w:ascii="黑体" w:hAnsi="黑体" w:eastAsia="黑体"/>
          <w:sz w:val="32"/>
          <w:szCs w:val="32"/>
          <w:highlight w:val="none"/>
          <w:lang w:val="en-US" w:eastAsia="zh-CN"/>
        </w:rPr>
        <w:t>2024</w:t>
      </w:r>
      <w:r>
        <w:rPr>
          <w:rFonts w:hint="eastAsia" w:ascii="黑体" w:hAnsi="黑体" w:eastAsia="黑体"/>
          <w:sz w:val="32"/>
          <w:szCs w:val="32"/>
          <w:highlight w:val="none"/>
        </w:rPr>
        <w:t>年一般公共预算基本支出情况说明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黑体" w:hAnsi="黑体" w:eastAsia="黑体"/>
          <w:sz w:val="32"/>
          <w:szCs w:val="32"/>
          <w:highlight w:val="none"/>
          <w:lang w:eastAsia="zh-CN"/>
        </w:rPr>
        <w:t>东方市红泉农场中心学校</w:t>
      </w:r>
      <w:r>
        <w:rPr>
          <w:rFonts w:hint="eastAsia" w:ascii="方正仿宋_GBK" w:hAnsi="方正仿宋_GBK" w:eastAsia="方正仿宋_GBK" w:cs="方正仿宋_GBK"/>
          <w:sz w:val="32"/>
          <w:szCs w:val="32"/>
          <w:highlight w:val="none"/>
          <w:lang w:val="en-US" w:eastAsia="zh-CN"/>
        </w:rPr>
        <w:t>2024</w:t>
      </w:r>
      <w:r>
        <w:rPr>
          <w:rFonts w:hint="eastAsia" w:ascii="方正仿宋_GBK" w:hAnsi="方正仿宋_GBK" w:eastAsia="方正仿宋_GBK" w:cs="方正仿宋_GBK"/>
          <w:sz w:val="32"/>
          <w:szCs w:val="32"/>
          <w:highlight w:val="none"/>
        </w:rPr>
        <w:t>年一般公共预算基本支出为</w:t>
      </w:r>
      <w:r>
        <w:rPr>
          <w:rFonts w:hint="eastAsia" w:ascii="方正仿宋_GBK" w:hAnsi="方正仿宋_GBK" w:eastAsia="方正仿宋_GBK" w:cs="方正仿宋_GBK"/>
          <w:sz w:val="32"/>
          <w:szCs w:val="32"/>
          <w:highlight w:val="none"/>
          <w:lang w:val="en-US" w:eastAsia="zh-CN"/>
        </w:rPr>
        <w:t>854.35</w:t>
      </w:r>
      <w:r>
        <w:rPr>
          <w:rFonts w:hint="eastAsia" w:ascii="方正仿宋_GBK" w:hAnsi="方正仿宋_GBK" w:eastAsia="方正仿宋_GBK" w:cs="方正仿宋_GBK"/>
          <w:sz w:val="32"/>
          <w:szCs w:val="32"/>
          <w:highlight w:val="none"/>
        </w:rPr>
        <w:t>万元，其中：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人员经费</w:t>
      </w:r>
      <w:r>
        <w:rPr>
          <w:rFonts w:hint="eastAsia" w:ascii="黑体" w:hAnsi="黑体" w:eastAsia="黑体" w:cs="黑体"/>
          <w:sz w:val="32"/>
          <w:szCs w:val="32"/>
          <w:highlight w:val="none"/>
          <w:lang w:val="en-US" w:eastAsia="zh-CN"/>
        </w:rPr>
        <w:t>848.94</w:t>
      </w:r>
      <w:r>
        <w:rPr>
          <w:rFonts w:hint="eastAsia" w:ascii="黑体" w:hAnsi="黑体" w:eastAsia="黑体" w:cs="黑体"/>
          <w:sz w:val="32"/>
          <w:szCs w:val="32"/>
          <w:highlight w:val="none"/>
        </w:rPr>
        <w:t>万元，主要包括：主要包括：基本工资、津贴补贴、</w:t>
      </w:r>
      <w:r>
        <w:rPr>
          <w:rFonts w:hint="eastAsia" w:ascii="黑体" w:hAnsi="黑体" w:eastAsia="黑体" w:cs="黑体"/>
          <w:sz w:val="32"/>
          <w:szCs w:val="32"/>
          <w:highlight w:val="none"/>
          <w:lang w:val="en-US" w:eastAsia="zh-CN"/>
        </w:rPr>
        <w:t>绩效工资、机关事业单位基本养老保险缴费、职业年金缴费、职工基本医疗保险缴费、公务员医疗补助缴费、其他社会保障缴费、</w:t>
      </w:r>
      <w:r>
        <w:rPr>
          <w:rFonts w:hint="eastAsia" w:ascii="黑体" w:hAnsi="黑体" w:eastAsia="黑体" w:cs="黑体"/>
          <w:sz w:val="32"/>
          <w:szCs w:val="32"/>
          <w:highlight w:val="none"/>
        </w:rPr>
        <w:t>住房公积金、</w:t>
      </w:r>
      <w:r>
        <w:rPr>
          <w:rFonts w:hint="eastAsia" w:ascii="黑体" w:hAnsi="黑体" w:eastAsia="黑体" w:cs="黑体"/>
          <w:sz w:val="32"/>
          <w:szCs w:val="32"/>
          <w:highlight w:val="none"/>
          <w:lang w:val="en-US" w:eastAsia="zh-CN"/>
        </w:rPr>
        <w:t>商品和服务支出、邮电费、</w:t>
      </w:r>
      <w:r>
        <w:rPr>
          <w:rFonts w:hint="eastAsia" w:ascii="黑体" w:hAnsi="黑体" w:eastAsia="黑体" w:cs="黑体"/>
          <w:sz w:val="32"/>
          <w:szCs w:val="32"/>
          <w:highlight w:val="none"/>
        </w:rPr>
        <w:t>对个人和家庭的补助</w:t>
      </w:r>
      <w:r>
        <w:rPr>
          <w:rFonts w:hint="eastAsia" w:ascii="黑体" w:hAnsi="黑体" w:eastAsia="黑体" w:cs="黑体"/>
          <w:sz w:val="32"/>
          <w:szCs w:val="32"/>
          <w:highlight w:val="none"/>
          <w:lang w:eastAsia="zh-CN"/>
        </w:rPr>
        <w:t>、</w:t>
      </w:r>
      <w:r>
        <w:rPr>
          <w:rFonts w:hint="eastAsia" w:ascii="黑体" w:hAnsi="黑体" w:eastAsia="黑体" w:cs="黑体"/>
          <w:sz w:val="32"/>
          <w:szCs w:val="32"/>
          <w:highlight w:val="none"/>
          <w:lang w:val="en-US" w:eastAsia="zh-CN"/>
        </w:rPr>
        <w:t>生活补助。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bCs w:val="0"/>
          <w:i w:val="0"/>
          <w:color w:val="FF0000"/>
          <w:kern w:val="0"/>
          <w:sz w:val="32"/>
          <w:szCs w:val="32"/>
          <w:highlight w:val="none"/>
          <w:lang w:val="en-US" w:eastAsia="zh-CN" w:bidi="ar-SA"/>
        </w:rPr>
      </w:pPr>
      <w:r>
        <w:rPr>
          <w:rFonts w:hint="eastAsia" w:ascii="黑体" w:hAnsi="黑体" w:eastAsia="黑体" w:cs="黑体"/>
          <w:sz w:val="32"/>
          <w:szCs w:val="32"/>
          <w:highlight w:val="none"/>
        </w:rPr>
        <w:t>公用经费</w:t>
      </w:r>
      <w:r>
        <w:rPr>
          <w:rFonts w:hint="eastAsia" w:ascii="黑体" w:hAnsi="黑体" w:eastAsia="黑体" w:cs="黑体"/>
          <w:sz w:val="32"/>
          <w:szCs w:val="32"/>
          <w:highlight w:val="none"/>
          <w:lang w:val="en-US" w:eastAsia="zh-CN"/>
        </w:rPr>
        <w:t>5.41</w:t>
      </w:r>
      <w:r>
        <w:rPr>
          <w:rFonts w:hint="eastAsia" w:ascii="黑体" w:hAnsi="黑体" w:eastAsia="黑体" w:cs="黑体"/>
          <w:sz w:val="32"/>
          <w:szCs w:val="32"/>
          <w:highlight w:val="none"/>
        </w:rPr>
        <w:t>万元，主要包括：工会经费支出。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四、</w:t>
      </w:r>
      <w:r>
        <w:rPr>
          <w:rFonts w:hint="eastAsia" w:ascii="黑体" w:hAnsi="黑体" w:eastAsia="黑体"/>
          <w:sz w:val="32"/>
          <w:szCs w:val="32"/>
          <w:highlight w:val="none"/>
          <w:lang w:eastAsia="zh-CN"/>
        </w:rPr>
        <w:t>东方市红泉农场中心学校</w:t>
      </w:r>
      <w:r>
        <w:rPr>
          <w:rFonts w:hint="eastAsia" w:ascii="黑体" w:hAnsi="黑体" w:eastAsia="黑体"/>
          <w:sz w:val="32"/>
          <w:szCs w:val="32"/>
          <w:highlight w:val="none"/>
          <w:lang w:val="en-US" w:eastAsia="zh-CN"/>
        </w:rPr>
        <w:t>2024</w:t>
      </w:r>
      <w:r>
        <w:rPr>
          <w:rFonts w:ascii="黑体" w:hAnsi="黑体" w:eastAsia="黑体" w:cs="Times New Roman"/>
          <w:sz w:val="32"/>
          <w:highlight w:val="none"/>
          <w:shd w:val="clear" w:color="auto" w:fill="FFFFFF"/>
        </w:rPr>
        <w:t>年“三公”经费预算情况</w:t>
      </w:r>
      <w:r>
        <w:rPr>
          <w:rFonts w:hint="eastAsia" w:ascii="黑体" w:hAnsi="黑体" w:eastAsia="黑体" w:cs="Times New Roman"/>
          <w:sz w:val="32"/>
          <w:highlight w:val="none"/>
          <w:shd w:val="clear" w:color="auto" w:fill="FFFFFF"/>
        </w:rPr>
        <w:t>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bCs/>
          <w:sz w:val="32"/>
          <w:szCs w:val="32"/>
          <w:highlight w:val="none"/>
        </w:rPr>
      </w:pPr>
      <w:r>
        <w:rPr>
          <w:rFonts w:hint="eastAsia" w:ascii="方正楷体_GBK" w:hAnsi="方正楷体_GBK" w:eastAsia="方正楷体_GBK" w:cs="方正楷体_GBK"/>
          <w:b/>
          <w:bCs/>
          <w:sz w:val="32"/>
          <w:szCs w:val="32"/>
          <w:highlight w:val="none"/>
        </w:rPr>
        <w:t>（一）</w:t>
      </w:r>
      <w:r>
        <w:rPr>
          <w:rFonts w:hint="eastAsia" w:ascii="黑体" w:hAnsi="黑体" w:eastAsia="黑体"/>
          <w:sz w:val="32"/>
          <w:szCs w:val="32"/>
          <w:highlight w:val="none"/>
          <w:lang w:eastAsia="zh-CN"/>
        </w:rPr>
        <w:t>东方市红泉农场中心学校</w:t>
      </w:r>
      <w:r>
        <w:rPr>
          <w:rFonts w:hint="eastAsia" w:ascii="黑体" w:hAnsi="黑体" w:eastAsia="黑体" w:cs="Times New Roman"/>
          <w:sz w:val="32"/>
          <w:highlight w:val="none"/>
          <w:shd w:val="clear" w:color="auto" w:fill="FFFFFF"/>
        </w:rPr>
        <w:t>单位</w:t>
      </w:r>
      <w:r>
        <w:rPr>
          <w:rFonts w:hint="eastAsia" w:ascii="方正楷体_GBK" w:hAnsi="方正楷体_GBK" w:eastAsia="方正楷体_GBK" w:cs="方正楷体_GBK"/>
          <w:b/>
          <w:bCs/>
          <w:sz w:val="32"/>
          <w:szCs w:val="32"/>
          <w:highlight w:val="none"/>
        </w:rPr>
        <w:t>202</w:t>
      </w:r>
      <w:r>
        <w:rPr>
          <w:rFonts w:hint="eastAsia" w:ascii="方正楷体_GBK" w:hAnsi="方正楷体_GBK" w:eastAsia="方正楷体_GBK" w:cs="方正楷体_GBK"/>
          <w:b/>
          <w:bCs/>
          <w:sz w:val="32"/>
          <w:szCs w:val="32"/>
          <w:highlight w:val="none"/>
          <w:lang w:val="en-US" w:eastAsia="zh-CN"/>
        </w:rPr>
        <w:t>4</w:t>
      </w:r>
      <w:r>
        <w:rPr>
          <w:rFonts w:hint="eastAsia" w:ascii="方正楷体_GBK" w:hAnsi="方正楷体_GBK" w:eastAsia="方正楷体_GBK" w:cs="方正楷体_GBK"/>
          <w:b/>
          <w:bCs/>
          <w:sz w:val="32"/>
          <w:szCs w:val="32"/>
          <w:highlight w:val="none"/>
        </w:rPr>
        <w:t>年一般公共预算“三公”经费预算数为</w:t>
      </w:r>
      <w:r>
        <w:rPr>
          <w:rFonts w:hint="eastAsia" w:ascii="方正楷体_GBK" w:hAnsi="方正楷体_GBK" w:eastAsia="方正楷体_GBK" w:cs="方正楷体_GBK"/>
          <w:b/>
          <w:bCs/>
          <w:sz w:val="32"/>
          <w:szCs w:val="32"/>
          <w:highlight w:val="none"/>
          <w:lang w:val="en-US" w:eastAsia="zh-CN"/>
        </w:rPr>
        <w:t>1.85</w:t>
      </w:r>
      <w:r>
        <w:rPr>
          <w:rFonts w:hint="eastAsia" w:ascii="方正楷体_GBK" w:hAnsi="方正楷体_GBK" w:eastAsia="方正楷体_GBK" w:cs="方正楷体_GBK"/>
          <w:b/>
          <w:bCs/>
          <w:sz w:val="32"/>
          <w:szCs w:val="32"/>
          <w:highlight w:val="none"/>
          <w:lang w:eastAsia="zh-CN"/>
        </w:rPr>
        <w:t>万元</w:t>
      </w:r>
      <w:r>
        <w:rPr>
          <w:rFonts w:hint="eastAsia" w:ascii="方正楷体_GBK" w:hAnsi="方正楷体_GBK" w:eastAsia="方正楷体_GBK" w:cs="方正楷体_GBK"/>
          <w:b/>
          <w:bCs/>
          <w:sz w:val="32"/>
          <w:szCs w:val="32"/>
          <w:highlight w:val="none"/>
        </w:rPr>
        <w:t>，其中：</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rPr>
          <w:rFonts w:hint="eastAsia" w:ascii="方正楷体_GBK" w:hAnsi="方正楷体_GBK" w:eastAsia="方正楷体_GBK" w:cs="方正楷体_GBK"/>
          <w:b/>
          <w:bCs/>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因公出国（境）经费，202</w:t>
      </w:r>
      <w:r>
        <w:rPr>
          <w:rFonts w:hint="eastAsia" w:ascii="方正仿宋_GBK" w:hAnsi="方正仿宋_GBK" w:eastAsia="方正仿宋_GBK" w:cs="方正仿宋_GBK"/>
          <w:sz w:val="32"/>
          <w:szCs w:val="32"/>
          <w:highlight w:val="none"/>
          <w:lang w:val="en-US" w:eastAsia="zh-CN"/>
        </w:rPr>
        <w:t>4</w:t>
      </w:r>
      <w:r>
        <w:rPr>
          <w:rFonts w:hint="eastAsia" w:ascii="方正仿宋_GBK" w:hAnsi="方正仿宋_GBK" w:eastAsia="方正仿宋_GBK" w:cs="方正仿宋_GBK"/>
          <w:sz w:val="32"/>
          <w:szCs w:val="32"/>
          <w:highlight w:val="none"/>
        </w:rPr>
        <w:t>年本单位年初无此项经费预算。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公务用车购置及运行费0.3</w:t>
      </w:r>
      <w:r>
        <w:rPr>
          <w:rFonts w:hint="eastAsia" w:ascii="方正仿宋_GBK" w:hAnsi="方正仿宋_GBK" w:eastAsia="方正仿宋_GBK" w:cs="方正仿宋_GBK"/>
          <w:sz w:val="32"/>
          <w:szCs w:val="32"/>
          <w:highlight w:val="none"/>
          <w:lang w:val="en-US" w:eastAsia="zh-CN"/>
        </w:rPr>
        <w:t>2</w:t>
      </w:r>
      <w:r>
        <w:rPr>
          <w:rFonts w:hint="eastAsia" w:ascii="方正仿宋_GBK" w:hAnsi="方正仿宋_GBK" w:eastAsia="方正仿宋_GBK" w:cs="方正仿宋_GBK"/>
          <w:sz w:val="32"/>
          <w:szCs w:val="32"/>
          <w:highlight w:val="none"/>
          <w:lang w:eastAsia="zh-CN"/>
        </w:rPr>
        <w:t>万元</w:t>
      </w:r>
      <w:r>
        <w:rPr>
          <w:rFonts w:hint="eastAsia" w:ascii="方正仿宋_GBK" w:hAnsi="方正仿宋_GBK" w:eastAsia="方正仿宋_GBK" w:cs="方正仿宋_GBK"/>
          <w:sz w:val="32"/>
          <w:szCs w:val="32"/>
          <w:highlight w:val="none"/>
        </w:rPr>
        <w:t>（其中，公务用车购置费</w:t>
      </w:r>
      <w:r>
        <w:rPr>
          <w:rFonts w:hint="eastAsia" w:ascii="方正仿宋_GBK" w:hAnsi="方正仿宋_GBK" w:eastAsia="方正仿宋_GBK" w:cs="方正仿宋_GBK"/>
          <w:sz w:val="32"/>
          <w:szCs w:val="32"/>
          <w:highlight w:val="none"/>
          <w:lang w:val="en-US" w:eastAsia="zh-CN"/>
        </w:rPr>
        <w:t>0</w:t>
      </w:r>
      <w:r>
        <w:rPr>
          <w:rFonts w:hint="eastAsia" w:ascii="方正仿宋_GBK" w:hAnsi="方正仿宋_GBK" w:eastAsia="方正仿宋_GBK" w:cs="方正仿宋_GBK"/>
          <w:sz w:val="32"/>
          <w:szCs w:val="32"/>
          <w:highlight w:val="none"/>
          <w:lang w:eastAsia="zh-CN"/>
        </w:rPr>
        <w:t>万元</w:t>
      </w:r>
      <w:r>
        <w:rPr>
          <w:rFonts w:hint="eastAsia" w:ascii="方正仿宋_GBK" w:hAnsi="方正仿宋_GBK" w:eastAsia="方正仿宋_GBK" w:cs="方正仿宋_GBK"/>
          <w:sz w:val="32"/>
          <w:szCs w:val="32"/>
          <w:highlight w:val="none"/>
        </w:rPr>
        <w:t>，公务用车运行费</w:t>
      </w:r>
      <w:r>
        <w:rPr>
          <w:rFonts w:hint="eastAsia" w:ascii="方正仿宋_GBK" w:hAnsi="方正仿宋_GBK" w:eastAsia="方正仿宋_GBK" w:cs="方正仿宋_GBK"/>
          <w:sz w:val="32"/>
          <w:szCs w:val="32"/>
          <w:highlight w:val="none"/>
          <w:lang w:val="en-US" w:eastAsia="zh-CN"/>
        </w:rPr>
        <w:t>0.32</w:t>
      </w:r>
      <w:r>
        <w:rPr>
          <w:rFonts w:hint="eastAsia" w:ascii="方正仿宋_GBK" w:hAnsi="方正仿宋_GBK" w:eastAsia="方正仿宋_GBK" w:cs="方正仿宋_GBK"/>
          <w:sz w:val="32"/>
          <w:szCs w:val="32"/>
          <w:highlight w:val="none"/>
          <w:lang w:eastAsia="zh-CN"/>
        </w:rPr>
        <w:t>万元</w:t>
      </w:r>
      <w:r>
        <w:rPr>
          <w:rFonts w:hint="eastAsia" w:ascii="方正仿宋_GBK" w:hAnsi="方正仿宋_GBK" w:eastAsia="方正仿宋_GBK" w:cs="方正仿宋_GBK"/>
          <w:sz w:val="32"/>
          <w:szCs w:val="32"/>
          <w:highlight w:val="none"/>
        </w:rPr>
        <w:t>），与上年预算预算下降</w:t>
      </w:r>
      <w:r>
        <w:rPr>
          <w:rFonts w:hint="eastAsia" w:ascii="方正仿宋_GBK" w:hAnsi="方正仿宋_GBK" w:eastAsia="方正仿宋_GBK" w:cs="方正仿宋_GBK"/>
          <w:sz w:val="32"/>
          <w:szCs w:val="32"/>
          <w:highlight w:val="none"/>
          <w:lang w:val="en-US" w:eastAsia="zh-CN"/>
        </w:rPr>
        <w:t>8.57</w:t>
      </w:r>
      <w:r>
        <w:rPr>
          <w:rFonts w:hint="eastAsia" w:ascii="方正仿宋_GBK" w:hAnsi="方正仿宋_GBK" w:eastAsia="方正仿宋_GBK" w:cs="方正仿宋_GBK"/>
          <w:sz w:val="32"/>
          <w:szCs w:val="32"/>
          <w:highlight w:val="none"/>
        </w:rPr>
        <w:t>%。下降的主要原因包括：</w:t>
      </w:r>
      <w:r>
        <w:rPr>
          <w:rFonts w:hint="eastAsia" w:ascii="方正仿宋_GBK" w:hAnsi="方正仿宋_GBK" w:eastAsia="方正仿宋_GBK" w:cs="方正仿宋_GBK"/>
          <w:sz w:val="32"/>
          <w:szCs w:val="32"/>
          <w:highlight w:val="none"/>
          <w:lang w:val="en-US" w:eastAsia="zh-CN"/>
        </w:rPr>
        <w:t>继续严格公务车辆使用审批和定点进行日常维修、加强使用管理，控制公务车辆运行费用支出。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公务接待费</w:t>
      </w:r>
      <w:r>
        <w:rPr>
          <w:rFonts w:hint="eastAsia" w:ascii="方正仿宋_GBK" w:hAnsi="方正仿宋_GBK" w:eastAsia="方正仿宋_GBK" w:cs="方正仿宋_GBK"/>
          <w:sz w:val="32"/>
          <w:szCs w:val="32"/>
          <w:highlight w:val="none"/>
          <w:lang w:val="en-US" w:eastAsia="zh-CN"/>
        </w:rPr>
        <w:t>1.53</w:t>
      </w:r>
      <w:r>
        <w:rPr>
          <w:rFonts w:hint="eastAsia" w:ascii="方正仿宋_GBK" w:hAnsi="方正仿宋_GBK" w:eastAsia="方正仿宋_GBK" w:cs="方正仿宋_GBK"/>
          <w:sz w:val="32"/>
          <w:szCs w:val="32"/>
          <w:highlight w:val="none"/>
          <w:lang w:eastAsia="zh-CN"/>
        </w:rPr>
        <w:t>万元</w:t>
      </w:r>
      <w:r>
        <w:rPr>
          <w:rFonts w:hint="eastAsia" w:ascii="方正仿宋_GBK" w:hAnsi="方正仿宋_GBK" w:eastAsia="方正仿宋_GBK" w:cs="方正仿宋_GBK"/>
          <w:sz w:val="32"/>
          <w:szCs w:val="32"/>
          <w:highlight w:val="none"/>
        </w:rPr>
        <w:t>，与上年预算预算下降</w:t>
      </w:r>
      <w:r>
        <w:rPr>
          <w:rFonts w:hint="eastAsia" w:ascii="方正仿宋_GBK" w:hAnsi="方正仿宋_GBK" w:eastAsia="方正仿宋_GBK" w:cs="方正仿宋_GBK"/>
          <w:sz w:val="32"/>
          <w:szCs w:val="32"/>
          <w:highlight w:val="none"/>
          <w:lang w:val="en-US" w:eastAsia="zh-CN"/>
        </w:rPr>
        <w:t>14.53</w:t>
      </w:r>
      <w:r>
        <w:rPr>
          <w:rFonts w:hint="eastAsia" w:ascii="方正仿宋_GBK" w:hAnsi="方正仿宋_GBK" w:eastAsia="方正仿宋_GBK" w:cs="方正仿宋_GBK"/>
          <w:sz w:val="32"/>
          <w:szCs w:val="32"/>
          <w:highlight w:val="none"/>
        </w:rPr>
        <w:t>%。下降的主要原因包括：</w:t>
      </w:r>
      <w:r>
        <w:rPr>
          <w:rFonts w:hint="eastAsia" w:ascii="方正仿宋_GBK" w:hAnsi="方正仿宋_GBK" w:eastAsia="方正仿宋_GBK" w:cs="方正仿宋_GBK"/>
          <w:sz w:val="32"/>
          <w:szCs w:val="32"/>
          <w:highlight w:val="none"/>
          <w:lang w:val="en-US" w:eastAsia="zh-CN"/>
        </w:rPr>
        <w:t>继续严格贯彻落实中央、市委市政府厉行节约的规定，加强管理，严格控制公务接待规模和标准。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楷体_GBK" w:cs="方正仿宋_GBK"/>
          <w:sz w:val="32"/>
          <w:szCs w:val="32"/>
          <w:highlight w:val="none"/>
          <w:lang w:eastAsia="zh-CN"/>
        </w:rPr>
      </w:pPr>
      <w:r>
        <w:rPr>
          <w:rFonts w:hint="eastAsia" w:ascii="方正楷体_GBK" w:hAnsi="方正楷体_GBK" w:eastAsia="方正楷体_GBK" w:cs="方正楷体_GBK"/>
          <w:b/>
          <w:bCs/>
          <w:sz w:val="32"/>
          <w:szCs w:val="32"/>
          <w:highlight w:val="none"/>
        </w:rPr>
        <w:t>（二）</w:t>
      </w:r>
      <w:r>
        <w:rPr>
          <w:rFonts w:hint="eastAsia" w:ascii="方正楷体_GBK" w:hAnsi="方正楷体_GBK" w:eastAsia="方正楷体_GBK" w:cs="方正楷体_GBK"/>
          <w:b/>
          <w:bCs/>
          <w:sz w:val="32"/>
          <w:szCs w:val="32"/>
          <w:highlight w:val="none"/>
          <w:lang w:eastAsia="zh-CN"/>
        </w:rPr>
        <w:t>东方市红泉农场中心学校</w:t>
      </w:r>
      <w:r>
        <w:rPr>
          <w:rFonts w:hint="eastAsia" w:ascii="方正楷体_GBK" w:hAnsi="方正楷体_GBK" w:eastAsia="方正楷体_GBK" w:cs="方正楷体_GBK"/>
          <w:b/>
          <w:bCs/>
          <w:sz w:val="32"/>
          <w:szCs w:val="32"/>
          <w:highlight w:val="none"/>
          <w:lang w:val="en-US" w:eastAsia="zh-CN"/>
        </w:rPr>
        <w:t>单位</w:t>
      </w:r>
      <w:r>
        <w:rPr>
          <w:rFonts w:hint="eastAsia" w:ascii="方正楷体_GBK" w:hAnsi="方正楷体_GBK" w:eastAsia="方正楷体_GBK" w:cs="方正楷体_GBK"/>
          <w:b/>
          <w:bCs/>
          <w:sz w:val="32"/>
          <w:szCs w:val="32"/>
          <w:highlight w:val="none"/>
        </w:rPr>
        <w:t>202</w:t>
      </w:r>
      <w:r>
        <w:rPr>
          <w:rFonts w:hint="eastAsia" w:ascii="方正楷体_GBK" w:hAnsi="方正楷体_GBK" w:eastAsia="方正楷体_GBK" w:cs="方正楷体_GBK"/>
          <w:b/>
          <w:bCs/>
          <w:sz w:val="32"/>
          <w:szCs w:val="32"/>
          <w:highlight w:val="none"/>
          <w:lang w:val="en-US" w:eastAsia="zh-CN"/>
        </w:rPr>
        <w:t>4</w:t>
      </w:r>
      <w:r>
        <w:rPr>
          <w:rFonts w:hint="eastAsia" w:ascii="方正楷体_GBK" w:hAnsi="方正楷体_GBK" w:eastAsia="方正楷体_GBK" w:cs="方正楷体_GBK"/>
          <w:b/>
          <w:bCs/>
          <w:sz w:val="32"/>
          <w:szCs w:val="32"/>
          <w:highlight w:val="none"/>
        </w:rPr>
        <w:t>年</w:t>
      </w:r>
      <w:r>
        <w:rPr>
          <w:rFonts w:hint="eastAsia" w:ascii="方正楷体_GBK" w:hAnsi="方正楷体_GBK" w:eastAsia="方正楷体_GBK" w:cs="方正楷体_GBK"/>
          <w:b/>
          <w:bCs/>
          <w:sz w:val="32"/>
          <w:szCs w:val="32"/>
          <w:highlight w:val="none"/>
          <w:lang w:val="en-US" w:eastAsia="zh-CN"/>
        </w:rPr>
        <w:t>无</w:t>
      </w:r>
      <w:r>
        <w:rPr>
          <w:rFonts w:hint="eastAsia" w:ascii="方正楷体_GBK" w:hAnsi="方正楷体_GBK" w:eastAsia="方正楷体_GBK" w:cs="方正楷体_GBK"/>
          <w:b/>
          <w:bCs/>
          <w:sz w:val="32"/>
          <w:szCs w:val="32"/>
          <w:highlight w:val="none"/>
        </w:rPr>
        <w:t>政府性基金“三公”经费预算</w:t>
      </w:r>
      <w:r>
        <w:rPr>
          <w:rFonts w:hint="eastAsia" w:ascii="方正楷体_GBK" w:hAnsi="方正楷体_GBK" w:eastAsia="方正楷体_GBK" w:cs="方正楷体_GBK"/>
          <w:b/>
          <w:bCs/>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黑体" w:hAnsi="黑体" w:eastAsia="黑体" w:cs="Times New Roman"/>
          <w:sz w:val="32"/>
          <w:highlight w:val="none"/>
          <w:shd w:val="clear" w:color="auto" w:fill="FFFFFF"/>
        </w:rPr>
        <w:t>五、关于</w:t>
      </w:r>
      <w:r>
        <w:rPr>
          <w:rFonts w:hint="eastAsia" w:ascii="黑体" w:hAnsi="黑体" w:eastAsia="黑体"/>
          <w:sz w:val="32"/>
          <w:szCs w:val="32"/>
          <w:highlight w:val="none"/>
          <w:lang w:eastAsia="zh-CN"/>
        </w:rPr>
        <w:t>东方市红泉农场中心学校</w:t>
      </w:r>
      <w:r>
        <w:rPr>
          <w:rFonts w:hint="eastAsia" w:ascii="黑体" w:hAnsi="黑体" w:eastAsia="黑体" w:cs="Times New Roman"/>
          <w:sz w:val="32"/>
          <w:highlight w:val="none"/>
          <w:shd w:val="clear" w:color="auto" w:fill="FFFFFF"/>
        </w:rPr>
        <w:t>单位</w:t>
      </w:r>
      <w:r>
        <w:rPr>
          <w:rFonts w:hint="eastAsia" w:ascii="黑体" w:hAnsi="黑体" w:eastAsia="黑体"/>
          <w:sz w:val="32"/>
          <w:szCs w:val="32"/>
          <w:highlight w:val="none"/>
          <w:lang w:val="en-US" w:eastAsia="zh-CN"/>
        </w:rPr>
        <w:t>2024</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政府性基金预算当年拨款情况说明</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方正楷体_GBK" w:hAnsi="方正楷体_GBK" w:eastAsia="方正楷体_GBK" w:cs="方正楷体_GBK"/>
          <w:b/>
          <w:bCs/>
          <w:sz w:val="32"/>
          <w:szCs w:val="32"/>
          <w:highlight w:val="none"/>
        </w:rPr>
      </w:pPr>
      <w:r>
        <w:rPr>
          <w:rFonts w:hint="eastAsia" w:ascii="方正楷体_GBK" w:hAnsi="方正楷体_GBK" w:eastAsia="方正楷体_GBK" w:cs="方正楷体_GBK"/>
          <w:b/>
          <w:bCs/>
          <w:sz w:val="32"/>
          <w:szCs w:val="32"/>
          <w:highlight w:val="none"/>
        </w:rPr>
        <w:t>（一）政府性基金预算当年规模变化情况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黑体" w:hAnsi="黑体" w:eastAsia="黑体"/>
          <w:sz w:val="32"/>
          <w:szCs w:val="32"/>
          <w:highlight w:val="none"/>
          <w:lang w:eastAsia="zh-CN"/>
        </w:rPr>
        <w:t>东方市红泉农场中心学校</w:t>
      </w:r>
      <w:r>
        <w:rPr>
          <w:rFonts w:hint="eastAsia" w:ascii="黑体" w:hAnsi="黑体" w:eastAsia="黑体" w:cs="Times New Roman"/>
          <w:sz w:val="32"/>
          <w:highlight w:val="none"/>
          <w:shd w:val="clear" w:color="auto" w:fill="FFFFFF"/>
        </w:rPr>
        <w:t>单位</w:t>
      </w:r>
      <w:r>
        <w:rPr>
          <w:rFonts w:hint="eastAsia" w:ascii="方正仿宋_GBK" w:hAnsi="方正仿宋_GBK" w:eastAsia="方正仿宋_GBK" w:cs="方正仿宋_GBK"/>
          <w:sz w:val="32"/>
          <w:szCs w:val="32"/>
          <w:highlight w:val="none"/>
          <w:lang w:val="en-US" w:eastAsia="zh-CN"/>
        </w:rPr>
        <w:t>2024</w:t>
      </w:r>
      <w:r>
        <w:rPr>
          <w:rFonts w:hint="eastAsia" w:ascii="方正仿宋_GBK" w:hAnsi="方正仿宋_GBK" w:eastAsia="方正仿宋_GBK" w:cs="方正仿宋_GBK"/>
          <w:sz w:val="32"/>
          <w:szCs w:val="32"/>
          <w:highlight w:val="none"/>
        </w:rPr>
        <w:t>年政府性基金预算当年拨款</w:t>
      </w:r>
      <w:r>
        <w:rPr>
          <w:rFonts w:hint="eastAsia" w:ascii="方正仿宋_GBK" w:hAnsi="方正仿宋_GBK" w:eastAsia="方正仿宋_GBK" w:cs="方正仿宋_GBK"/>
          <w:sz w:val="32"/>
          <w:szCs w:val="32"/>
          <w:highlight w:val="none"/>
          <w:lang w:val="en-US" w:eastAsia="zh-CN"/>
        </w:rPr>
        <w:t>7.00</w:t>
      </w:r>
      <w:r>
        <w:rPr>
          <w:rFonts w:hint="eastAsia" w:ascii="方正仿宋_GBK" w:hAnsi="方正仿宋_GBK" w:eastAsia="方正仿宋_GBK" w:cs="方正仿宋_GBK"/>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方正楷体_GBK" w:hAnsi="方正楷体_GBK" w:eastAsia="方正楷体_GBK" w:cs="方正楷体_GBK"/>
          <w:b/>
          <w:bCs/>
          <w:sz w:val="32"/>
          <w:szCs w:val="32"/>
          <w:highlight w:val="none"/>
        </w:rPr>
      </w:pPr>
      <w:r>
        <w:rPr>
          <w:rFonts w:hint="eastAsia" w:ascii="方正楷体_GBK" w:hAnsi="方正楷体_GBK" w:eastAsia="方正楷体_GBK" w:cs="方正楷体_GBK"/>
          <w:b/>
          <w:bCs/>
          <w:sz w:val="32"/>
          <w:szCs w:val="32"/>
          <w:highlight w:val="none"/>
        </w:rPr>
        <w:t>（二）政府性基金预算当年拨款结构情况</w:t>
      </w:r>
    </w:p>
    <w:p>
      <w:pPr>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城乡社区支出（类）支出</w:t>
      </w:r>
      <w:r>
        <w:rPr>
          <w:rFonts w:hint="eastAsia" w:ascii="方正仿宋_GBK" w:hAnsi="方正仿宋_GBK" w:eastAsia="方正仿宋_GBK" w:cs="方正仿宋_GBK"/>
          <w:sz w:val="32"/>
          <w:szCs w:val="32"/>
          <w:highlight w:val="none"/>
          <w:lang w:val="en-US" w:eastAsia="zh-CN"/>
        </w:rPr>
        <w:t>7.00</w:t>
      </w:r>
      <w:r>
        <w:rPr>
          <w:rFonts w:hint="eastAsia" w:ascii="方正仿宋_GBK" w:hAnsi="方正仿宋_GBK" w:eastAsia="方正仿宋_GBK" w:cs="方正仿宋_GBK"/>
          <w:sz w:val="32"/>
          <w:szCs w:val="32"/>
          <w:highlight w:val="none"/>
        </w:rPr>
        <w:t>万元，占</w:t>
      </w:r>
      <w:r>
        <w:rPr>
          <w:rFonts w:hint="eastAsia" w:ascii="方正仿宋_GBK" w:hAnsi="方正仿宋_GBK" w:eastAsia="方正仿宋_GBK" w:cs="方正仿宋_GBK"/>
          <w:sz w:val="32"/>
          <w:szCs w:val="32"/>
          <w:highlight w:val="none"/>
          <w:lang w:val="en-US" w:eastAsia="zh-CN"/>
        </w:rPr>
        <w:t>100</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方正楷体_GBK" w:hAnsi="方正楷体_GBK" w:eastAsia="方正楷体_GBK" w:cs="方正楷体_GBK"/>
          <w:b/>
          <w:bCs/>
          <w:sz w:val="32"/>
          <w:szCs w:val="32"/>
          <w:highlight w:val="none"/>
        </w:rPr>
      </w:pPr>
      <w:r>
        <w:rPr>
          <w:rFonts w:hint="eastAsia" w:ascii="方正楷体_GBK" w:hAnsi="方正楷体_GBK" w:eastAsia="方正楷体_GBK" w:cs="方正楷体_GBK"/>
          <w:b/>
          <w:bCs/>
          <w:sz w:val="32"/>
          <w:szCs w:val="32"/>
          <w:highlight w:val="none"/>
        </w:rPr>
        <w:t>（三）政府性基金预算当年拨款具体使用情况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rPr>
        <w:t>城乡社区支出（类）国有土地使用权出让收入安排的支出（款）农村社会事业支出（项）</w:t>
      </w:r>
      <w:r>
        <w:rPr>
          <w:rFonts w:hint="eastAsia" w:ascii="方正仿宋_GBK" w:hAnsi="方正仿宋_GBK" w:eastAsia="方正仿宋_GBK" w:cs="方正仿宋_GBK"/>
          <w:sz w:val="32"/>
          <w:szCs w:val="32"/>
          <w:highlight w:val="none"/>
          <w:lang w:val="en-US" w:eastAsia="zh-CN"/>
        </w:rPr>
        <w:t>2024</w:t>
      </w:r>
      <w:r>
        <w:rPr>
          <w:rFonts w:hint="eastAsia" w:ascii="方正仿宋_GBK" w:hAnsi="方正仿宋_GBK" w:eastAsia="方正仿宋_GBK" w:cs="方正仿宋_GBK"/>
          <w:sz w:val="32"/>
          <w:szCs w:val="32"/>
          <w:highlight w:val="none"/>
        </w:rPr>
        <w:t>年预算数为</w:t>
      </w:r>
      <w:r>
        <w:rPr>
          <w:rFonts w:hint="eastAsia" w:ascii="方正仿宋_GBK" w:hAnsi="方正仿宋_GBK" w:eastAsia="方正仿宋_GBK" w:cs="方正仿宋_GBK"/>
          <w:sz w:val="32"/>
          <w:szCs w:val="32"/>
          <w:highlight w:val="none"/>
          <w:lang w:val="en-US" w:eastAsia="zh-CN"/>
        </w:rPr>
        <w:t>7.00</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rPr>
        <w:t>万元。</w:t>
      </w:r>
      <w:r>
        <w:rPr>
          <w:rFonts w:hint="eastAsia" w:ascii="方正仿宋_GBK" w:hAnsi="方正仿宋_GBK" w:eastAsia="方正仿宋_GBK" w:cs="方正仿宋_GBK"/>
          <w:sz w:val="32"/>
          <w:szCs w:val="32"/>
          <w:highlight w:val="none"/>
          <w:lang w:eastAsia="zh-CN"/>
        </w:rPr>
        <w:t>比上年预算减少</w:t>
      </w:r>
      <w:r>
        <w:rPr>
          <w:rFonts w:hint="eastAsia" w:ascii="方正仿宋_GBK" w:hAnsi="方正仿宋_GBK" w:eastAsia="方正仿宋_GBK" w:cs="方正仿宋_GBK"/>
          <w:sz w:val="32"/>
          <w:szCs w:val="32"/>
          <w:highlight w:val="none"/>
          <w:lang w:val="en-US" w:eastAsia="zh-CN"/>
        </w:rPr>
        <w:t>31.66万元，主要原因是项目减少。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六、</w:t>
      </w:r>
      <w:r>
        <w:rPr>
          <w:rFonts w:hint="eastAsia" w:ascii="方正仿宋_GBK" w:hAnsi="方正仿宋_GBK" w:eastAsia="方正仿宋_GBK" w:cs="方正仿宋_GBK"/>
          <w:sz w:val="32"/>
          <w:szCs w:val="32"/>
          <w:highlight w:val="none"/>
          <w:lang w:eastAsia="zh-CN"/>
        </w:rPr>
        <w:t>东方市红泉农场中心学校</w:t>
      </w:r>
      <w:r>
        <w:rPr>
          <w:rFonts w:hint="eastAsia" w:ascii="方正仿宋_GBK" w:hAnsi="方正仿宋_GBK" w:eastAsia="方正仿宋_GBK" w:cs="方正仿宋_GBK"/>
          <w:sz w:val="32"/>
          <w:szCs w:val="32"/>
          <w:highlight w:val="none"/>
        </w:rPr>
        <w:t>单位</w:t>
      </w:r>
      <w:r>
        <w:rPr>
          <w:rFonts w:hint="eastAsia" w:ascii="方正仿宋_GBK" w:hAnsi="方正仿宋_GBK" w:eastAsia="方正仿宋_GBK" w:cs="方正仿宋_GBK"/>
          <w:sz w:val="32"/>
          <w:szCs w:val="32"/>
          <w:highlight w:val="none"/>
          <w:lang w:val="en-US" w:eastAsia="zh-CN"/>
        </w:rPr>
        <w:t>2024</w:t>
      </w:r>
      <w:r>
        <w:rPr>
          <w:rFonts w:hint="eastAsia" w:ascii="方正仿宋_GBK" w:hAnsi="方正仿宋_GBK" w:eastAsia="方正仿宋_GBK" w:cs="方正仿宋_GBK"/>
          <w:sz w:val="32"/>
          <w:szCs w:val="32"/>
          <w:highlight w:val="none"/>
        </w:rPr>
        <w:t>年收支预算情况的总体说明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rPr>
      </w:pPr>
      <w:r>
        <w:rPr>
          <w:rFonts w:hint="eastAsia" w:ascii="方正仿宋_GBK" w:hAnsi="方正仿宋_GBK" w:eastAsia="方正仿宋_GBK" w:cs="方正仿宋_GBK"/>
          <w:sz w:val="32"/>
          <w:szCs w:val="32"/>
          <w:highlight w:val="none"/>
        </w:rPr>
        <w:t>按照综合预算原则，</w:t>
      </w:r>
      <w:r>
        <w:rPr>
          <w:rFonts w:hint="eastAsia" w:ascii="方正仿宋_GBK" w:hAnsi="方正仿宋_GBK" w:eastAsia="方正仿宋_GBK" w:cs="方正仿宋_GBK"/>
          <w:sz w:val="32"/>
          <w:szCs w:val="32"/>
          <w:highlight w:val="none"/>
          <w:lang w:eastAsia="zh-CN"/>
        </w:rPr>
        <w:t>东方市红泉农场中心学校</w:t>
      </w:r>
      <w:r>
        <w:rPr>
          <w:rFonts w:hint="eastAsia" w:ascii="方正仿宋_GBK" w:hAnsi="方正仿宋_GBK" w:eastAsia="方正仿宋_GBK" w:cs="方正仿宋_GBK"/>
          <w:sz w:val="32"/>
          <w:szCs w:val="32"/>
          <w:highlight w:val="none"/>
        </w:rPr>
        <w:t>单位所有收入和支出均纳入部门预算管理。收入包括：一般公共预算收入、政府性基金收入、上年结转；支出包括：教育支出、社会保障和就业支出、卫生健康支出、城乡社区支出、住房保障支出。</w:t>
      </w:r>
      <w:r>
        <w:rPr>
          <w:rFonts w:hint="eastAsia" w:ascii="方正仿宋_GBK" w:hAnsi="方正仿宋_GBK" w:eastAsia="方正仿宋_GBK" w:cs="方正仿宋_GBK"/>
          <w:sz w:val="32"/>
          <w:szCs w:val="32"/>
          <w:highlight w:val="none"/>
          <w:lang w:eastAsia="zh-CN"/>
        </w:rPr>
        <w:t>东方市红泉农场中心学校</w:t>
      </w:r>
      <w:r>
        <w:rPr>
          <w:rFonts w:hint="eastAsia" w:ascii="方正仿宋_GBK" w:hAnsi="方正仿宋_GBK" w:eastAsia="方正仿宋_GBK" w:cs="方正仿宋_GBK"/>
          <w:sz w:val="32"/>
          <w:szCs w:val="32"/>
          <w:highlight w:val="none"/>
        </w:rPr>
        <w:t>单位</w:t>
      </w:r>
      <w:r>
        <w:rPr>
          <w:rFonts w:hint="eastAsia" w:ascii="方正仿宋_GBK" w:hAnsi="方正仿宋_GBK" w:eastAsia="方正仿宋_GBK" w:cs="方正仿宋_GBK"/>
          <w:sz w:val="32"/>
          <w:szCs w:val="32"/>
          <w:highlight w:val="none"/>
          <w:lang w:val="en-US" w:eastAsia="zh-CN"/>
        </w:rPr>
        <w:t>2024</w:t>
      </w:r>
      <w:r>
        <w:rPr>
          <w:rFonts w:hint="eastAsia" w:ascii="方正仿宋_GBK" w:hAnsi="方正仿宋_GBK" w:eastAsia="方正仿宋_GBK" w:cs="方正仿宋_GBK"/>
          <w:sz w:val="32"/>
          <w:szCs w:val="32"/>
          <w:highlight w:val="none"/>
        </w:rPr>
        <w:t>年收支总预算</w:t>
      </w:r>
      <w:r>
        <w:rPr>
          <w:rFonts w:hint="eastAsia" w:ascii="方正仿宋_GBK" w:hAnsi="方正仿宋_GBK" w:eastAsia="方正仿宋_GBK" w:cs="方正仿宋_GBK"/>
          <w:sz w:val="32"/>
          <w:szCs w:val="32"/>
          <w:highlight w:val="none"/>
          <w:lang w:val="en-US" w:eastAsia="zh-CN"/>
        </w:rPr>
        <w:t>1000.78</w:t>
      </w:r>
      <w:r>
        <w:rPr>
          <w:rFonts w:hint="eastAsia" w:ascii="方正仿宋_GBK" w:hAnsi="方正仿宋_GBK" w:eastAsia="方正仿宋_GBK" w:cs="方正仿宋_GBK"/>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color w:val="000000" w:themeColor="text1"/>
          <w:sz w:val="32"/>
          <w:highlight w:val="none"/>
          <w:shd w:val="clear" w:color="auto" w:fill="FFFFFF"/>
          <w14:textFill>
            <w14:solidFill>
              <w14:schemeClr w14:val="tx1"/>
            </w14:solidFill>
          </w14:textFill>
        </w:rPr>
      </w:pPr>
      <w:r>
        <w:rPr>
          <w:rFonts w:hint="eastAsia" w:ascii="黑体" w:hAnsi="黑体" w:eastAsia="黑体" w:cs="Times New Roman"/>
          <w:color w:val="000000" w:themeColor="text1"/>
          <w:sz w:val="32"/>
          <w:highlight w:val="none"/>
          <w:shd w:val="clear" w:color="auto" w:fill="FFFFFF"/>
          <w14:textFill>
            <w14:solidFill>
              <w14:schemeClr w14:val="tx1"/>
            </w14:solidFill>
          </w14:textFill>
        </w:rPr>
        <w:t>七、关于</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东方市红泉农场中心学校</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单位</w:t>
      </w:r>
      <w:r>
        <w:rPr>
          <w:rFonts w:hint="eastAsia" w:ascii="黑体" w:hAnsi="黑体" w:eastAsia="黑体"/>
          <w:color w:val="000000" w:themeColor="text1"/>
          <w:sz w:val="32"/>
          <w:szCs w:val="32"/>
          <w:highlight w:val="none"/>
          <w:lang w:val="en-US" w:eastAsia="zh-CN"/>
          <w14:textFill>
            <w14:solidFill>
              <w14:schemeClr w14:val="tx1"/>
            </w14:solidFill>
          </w14:textFill>
        </w:rPr>
        <w:t>2024</w:t>
      </w:r>
      <w:r>
        <w:rPr>
          <w:rFonts w:ascii="黑体" w:hAnsi="黑体" w:eastAsia="黑体" w:cs="Times New Roman"/>
          <w:color w:val="000000" w:themeColor="text1"/>
          <w:sz w:val="32"/>
          <w:highlight w:val="none"/>
          <w:shd w:val="clear" w:color="auto" w:fill="FFFFFF"/>
          <w14:textFill>
            <w14:solidFill>
              <w14:schemeClr w14:val="tx1"/>
            </w14:solidFill>
          </w14:textFill>
        </w:rPr>
        <w:t>年</w:t>
      </w:r>
      <w:r>
        <w:rPr>
          <w:rFonts w:hint="eastAsia" w:ascii="黑体" w:hAnsi="黑体" w:eastAsia="黑体" w:cs="Times New Roman"/>
          <w:color w:val="000000" w:themeColor="text1"/>
          <w:sz w:val="32"/>
          <w:highlight w:val="none"/>
          <w:shd w:val="clear" w:color="auto" w:fill="FFFFFF"/>
          <w14:textFill>
            <w14:solidFill>
              <w14:schemeClr w14:val="tx1"/>
            </w14:solidFill>
          </w14:textFill>
        </w:rPr>
        <w:t>收入预算情况说明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方正仿宋_GBK"/>
          <w:color w:val="000000" w:themeColor="text1"/>
          <w:sz w:val="32"/>
          <w:szCs w:val="32"/>
          <w:highlight w:val="none"/>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东方市红泉农场中心学校</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单位</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2024</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年收入预算</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1000.78</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万元，其中：一般公共预算拨款收入</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923.96</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万元</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占</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92.32</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上年结转</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69.82</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万元，占</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6.98</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%；政府性基金预算拨款收入</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7.00</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万元，占</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0.70</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%。比上年预算数</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减少</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22.24</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万元，主要是</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(上年结转增加55.95万元，</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一般公共预算拨款收入</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减少</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46.53</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万元</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，政府性基金预算拨款收入</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减少</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31.66</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万元</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color w:val="000000" w:themeColor="text1"/>
          <w:sz w:val="32"/>
          <w:highlight w:val="none"/>
          <w:shd w:val="clear" w:color="auto" w:fill="FFFFFF"/>
          <w14:textFill>
            <w14:solidFill>
              <w14:schemeClr w14:val="tx1"/>
            </w14:solidFill>
          </w14:textFill>
        </w:rPr>
      </w:pPr>
      <w:r>
        <w:rPr>
          <w:rFonts w:hint="eastAsia" w:ascii="黑体" w:hAnsi="黑体" w:eastAsia="黑体" w:cs="Times New Roman"/>
          <w:color w:val="000000" w:themeColor="text1"/>
          <w:sz w:val="32"/>
          <w:highlight w:val="none"/>
          <w:shd w:val="clear" w:color="auto" w:fill="FFFFFF"/>
          <w14:textFill>
            <w14:solidFill>
              <w14:schemeClr w14:val="tx1"/>
            </w14:solidFill>
          </w14:textFill>
        </w:rPr>
        <w:t>八、关于</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东方市红泉农场中心学校</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单位</w:t>
      </w:r>
      <w:r>
        <w:rPr>
          <w:rFonts w:hint="eastAsia" w:ascii="黑体" w:hAnsi="黑体" w:eastAsia="黑体"/>
          <w:color w:val="000000" w:themeColor="text1"/>
          <w:sz w:val="32"/>
          <w:szCs w:val="32"/>
          <w:highlight w:val="none"/>
          <w:lang w:val="en-US" w:eastAsia="zh-CN"/>
          <w14:textFill>
            <w14:solidFill>
              <w14:schemeClr w14:val="tx1"/>
            </w14:solidFill>
          </w14:textFill>
        </w:rPr>
        <w:t>2024</w:t>
      </w:r>
      <w:r>
        <w:rPr>
          <w:rFonts w:ascii="黑体" w:hAnsi="黑体" w:eastAsia="黑体" w:cs="Times New Roman"/>
          <w:color w:val="000000" w:themeColor="text1"/>
          <w:sz w:val="32"/>
          <w:highlight w:val="none"/>
          <w:shd w:val="clear" w:color="auto" w:fill="FFFFFF"/>
          <w14:textFill>
            <w14:solidFill>
              <w14:schemeClr w14:val="tx1"/>
            </w14:solidFill>
          </w14:textFill>
        </w:rPr>
        <w:t>年</w:t>
      </w:r>
      <w:r>
        <w:rPr>
          <w:rFonts w:hint="eastAsia" w:ascii="黑体" w:hAnsi="黑体" w:eastAsia="黑体" w:cs="Times New Roman"/>
          <w:color w:val="000000" w:themeColor="text1"/>
          <w:sz w:val="32"/>
          <w:highlight w:val="none"/>
          <w:shd w:val="clear" w:color="auto" w:fill="FFFFFF"/>
          <w14:textFill>
            <w14:solidFill>
              <w14:schemeClr w14:val="tx1"/>
            </w14:solidFill>
          </w14:textFill>
        </w:rPr>
        <w:t>支出预算情况说明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东方市农场中心学校</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单位2024</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年支出预算</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1000.78</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万元，其中：基本支出</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854.35</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万元，占</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85.37</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%；项目支出</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146.44</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万元，占</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14.63</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%。比上年预算数减少</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22.45</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万元，主要是</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（基本支出减少</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116.14万元，项目支出增加93.90万元</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九、其他重要事项的情况说明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bCs/>
          <w:sz w:val="32"/>
          <w:szCs w:val="32"/>
          <w:highlight w:val="none"/>
          <w:lang w:val="en-US" w:eastAsia="zh-CN"/>
        </w:rPr>
      </w:pPr>
      <w:r>
        <w:rPr>
          <w:rFonts w:hint="eastAsia" w:ascii="方正楷体_GBK" w:hAnsi="方正楷体_GBK" w:eastAsia="方正楷体_GBK" w:cs="方正楷体_GBK"/>
          <w:b/>
          <w:bCs/>
          <w:sz w:val="32"/>
          <w:szCs w:val="32"/>
          <w:highlight w:val="none"/>
        </w:rPr>
        <w:t>（</w:t>
      </w:r>
      <w:r>
        <w:rPr>
          <w:rFonts w:hint="eastAsia" w:ascii="方正楷体_GBK" w:hAnsi="方正楷体_GBK" w:eastAsia="方正楷体_GBK" w:cs="方正楷体_GBK"/>
          <w:b/>
          <w:bCs/>
          <w:sz w:val="32"/>
          <w:szCs w:val="32"/>
          <w:highlight w:val="none"/>
          <w:lang w:eastAsia="zh-CN"/>
        </w:rPr>
        <w:t>一</w:t>
      </w:r>
      <w:r>
        <w:rPr>
          <w:rFonts w:hint="eastAsia" w:ascii="方正楷体_GBK" w:hAnsi="方正楷体_GBK" w:eastAsia="方正楷体_GBK" w:cs="方正楷体_GBK"/>
          <w:b/>
          <w:bCs/>
          <w:sz w:val="32"/>
          <w:szCs w:val="32"/>
          <w:highlight w:val="none"/>
        </w:rPr>
        <w:t>）政府采购情况</w:t>
      </w:r>
      <w:r>
        <w:rPr>
          <w:rFonts w:hint="eastAsia" w:ascii="方正楷体_GBK" w:hAnsi="方正楷体_GBK" w:eastAsia="方正楷体_GBK" w:cs="方正楷体_GBK"/>
          <w:b/>
          <w:bCs/>
          <w:sz w:val="32"/>
          <w:szCs w:val="32"/>
          <w:highlight w:val="none"/>
          <w:lang w:val="en-US" w:eastAsia="zh-CN"/>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2024</w:t>
      </w:r>
      <w:r>
        <w:rPr>
          <w:rFonts w:hint="eastAsia" w:ascii="方正仿宋_GBK" w:hAnsi="方正仿宋_GBK" w:eastAsia="方正仿宋_GBK" w:cs="方正仿宋_GBK"/>
          <w:sz w:val="32"/>
          <w:szCs w:val="32"/>
          <w:highlight w:val="none"/>
        </w:rPr>
        <w:t>年</w:t>
      </w:r>
      <w:r>
        <w:rPr>
          <w:rFonts w:hint="eastAsia" w:ascii="方正仿宋_GBK" w:hAnsi="方正仿宋_GBK" w:eastAsia="方正仿宋_GBK" w:cs="方正仿宋_GBK"/>
          <w:sz w:val="32"/>
          <w:szCs w:val="32"/>
          <w:highlight w:val="none"/>
          <w:lang w:eastAsia="zh-CN"/>
        </w:rPr>
        <w:t>东方市红泉农场中心学校</w:t>
      </w:r>
      <w:r>
        <w:rPr>
          <w:rFonts w:hint="eastAsia" w:ascii="方正仿宋_GBK" w:hAnsi="方正仿宋_GBK" w:eastAsia="方正仿宋_GBK" w:cs="方正仿宋_GBK"/>
          <w:sz w:val="32"/>
          <w:szCs w:val="32"/>
          <w:highlight w:val="none"/>
          <w:lang w:val="en-US" w:eastAsia="zh-CN"/>
        </w:rPr>
        <w:t>单位</w:t>
      </w:r>
      <w:r>
        <w:rPr>
          <w:rFonts w:hint="eastAsia" w:ascii="方正仿宋_GBK" w:hAnsi="方正仿宋_GBK" w:eastAsia="方正仿宋_GBK" w:cs="方正仿宋_GBK"/>
          <w:sz w:val="32"/>
          <w:szCs w:val="32"/>
          <w:highlight w:val="none"/>
          <w:lang w:eastAsia="zh-CN"/>
        </w:rPr>
        <w:t>无政府采购预算。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bCs/>
          <w:sz w:val="32"/>
          <w:szCs w:val="32"/>
          <w:highlight w:val="none"/>
        </w:rPr>
      </w:pPr>
      <w:r>
        <w:rPr>
          <w:rFonts w:hint="eastAsia" w:ascii="方正楷体_GBK" w:hAnsi="方正楷体_GBK" w:eastAsia="方正楷体_GBK" w:cs="方正楷体_GBK"/>
          <w:b/>
          <w:bCs/>
          <w:sz w:val="32"/>
          <w:szCs w:val="32"/>
          <w:highlight w:val="none"/>
        </w:rPr>
        <w:t>（</w:t>
      </w:r>
      <w:r>
        <w:rPr>
          <w:rFonts w:hint="eastAsia" w:ascii="方正楷体_GBK" w:hAnsi="方正楷体_GBK" w:eastAsia="方正楷体_GBK" w:cs="方正楷体_GBK"/>
          <w:b/>
          <w:bCs/>
          <w:sz w:val="32"/>
          <w:szCs w:val="32"/>
          <w:highlight w:val="none"/>
          <w:lang w:eastAsia="zh-CN"/>
        </w:rPr>
        <w:t>二</w:t>
      </w:r>
      <w:r>
        <w:rPr>
          <w:rFonts w:hint="eastAsia" w:ascii="方正楷体_GBK" w:hAnsi="方正楷体_GBK" w:eastAsia="方正楷体_GBK" w:cs="方正楷体_GBK"/>
          <w:b/>
          <w:bCs/>
          <w:sz w:val="32"/>
          <w:szCs w:val="32"/>
          <w:highlight w:val="none"/>
        </w:rPr>
        <w:t>）国有资产占有使用情况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截至</w:t>
      </w:r>
      <w:r>
        <w:rPr>
          <w:rFonts w:hint="eastAsia" w:ascii="方正仿宋_GBK" w:hAnsi="方正仿宋_GBK" w:eastAsia="方正仿宋_GBK" w:cs="方正仿宋_GBK"/>
          <w:sz w:val="32"/>
          <w:szCs w:val="32"/>
          <w:highlight w:val="none"/>
          <w:lang w:val="en-US" w:eastAsia="zh-CN"/>
        </w:rPr>
        <w:t>2023</w:t>
      </w:r>
      <w:r>
        <w:rPr>
          <w:rFonts w:hint="eastAsia" w:ascii="方正仿宋_GBK" w:hAnsi="方正仿宋_GBK" w:eastAsia="方正仿宋_GBK" w:cs="方正仿宋_GBK"/>
          <w:sz w:val="32"/>
          <w:szCs w:val="32"/>
          <w:highlight w:val="none"/>
        </w:rPr>
        <w:t>年12月31日，</w:t>
      </w:r>
      <w:r>
        <w:rPr>
          <w:rFonts w:hint="eastAsia" w:ascii="方正仿宋_GBK" w:hAnsi="方正仿宋_GBK" w:eastAsia="方正仿宋_GBK" w:cs="方正仿宋_GBK"/>
          <w:sz w:val="32"/>
          <w:szCs w:val="32"/>
          <w:highlight w:val="none"/>
          <w:lang w:eastAsia="zh-CN"/>
        </w:rPr>
        <w:t>东方市红泉农场中心学校</w:t>
      </w:r>
      <w:r>
        <w:rPr>
          <w:rFonts w:hint="eastAsia" w:ascii="方正仿宋_GBK" w:hAnsi="方正仿宋_GBK" w:eastAsia="方正仿宋_GBK" w:cs="方正仿宋_GBK"/>
          <w:sz w:val="32"/>
          <w:szCs w:val="32"/>
          <w:highlight w:val="none"/>
          <w:lang w:val="en-US" w:eastAsia="zh-CN"/>
        </w:rPr>
        <w:t>单位</w:t>
      </w:r>
      <w:r>
        <w:rPr>
          <w:rFonts w:hint="eastAsia" w:ascii="方正仿宋_GBK" w:hAnsi="方正仿宋_GBK" w:eastAsia="方正仿宋_GBK" w:cs="方正仿宋_GBK"/>
          <w:sz w:val="32"/>
          <w:szCs w:val="32"/>
          <w:highlight w:val="none"/>
        </w:rPr>
        <w:t>本级及下属各预算单位共有车辆</w:t>
      </w:r>
      <w:r>
        <w:rPr>
          <w:rFonts w:hint="eastAsia" w:ascii="方正仿宋_GBK" w:hAnsi="方正仿宋_GBK" w:eastAsia="方正仿宋_GBK" w:cs="方正仿宋_GBK"/>
          <w:sz w:val="32"/>
          <w:szCs w:val="32"/>
          <w:highlight w:val="none"/>
          <w:lang w:val="en-US" w:eastAsia="zh-CN"/>
        </w:rPr>
        <w:t>0</w:t>
      </w:r>
      <w:r>
        <w:rPr>
          <w:rFonts w:hint="eastAsia" w:ascii="方正仿宋_GBK" w:hAnsi="方正仿宋_GBK" w:eastAsia="方正仿宋_GBK" w:cs="方正仿宋_GBK"/>
          <w:sz w:val="32"/>
          <w:szCs w:val="32"/>
          <w:highlight w:val="none"/>
        </w:rPr>
        <w:t>辆，其中，领导干部用车</w:t>
      </w:r>
      <w:r>
        <w:rPr>
          <w:rFonts w:hint="eastAsia" w:ascii="方正仿宋_GBK" w:hAnsi="方正仿宋_GBK" w:eastAsia="方正仿宋_GBK" w:cs="方正仿宋_GBK"/>
          <w:sz w:val="32"/>
          <w:szCs w:val="32"/>
          <w:highlight w:val="none"/>
          <w:lang w:val="en-US" w:eastAsia="zh-CN"/>
        </w:rPr>
        <w:t>0</w:t>
      </w:r>
      <w:r>
        <w:rPr>
          <w:rFonts w:hint="eastAsia" w:ascii="方正仿宋_GBK" w:hAnsi="方正仿宋_GBK" w:eastAsia="方正仿宋_GBK" w:cs="方正仿宋_GBK"/>
          <w:sz w:val="32"/>
          <w:szCs w:val="32"/>
          <w:highlight w:val="none"/>
        </w:rPr>
        <w:t>辆，机要通信应急用车</w:t>
      </w:r>
      <w:r>
        <w:rPr>
          <w:rFonts w:hint="eastAsia" w:ascii="方正仿宋_GBK" w:hAnsi="方正仿宋_GBK" w:eastAsia="方正仿宋_GBK" w:cs="方正仿宋_GBK"/>
          <w:sz w:val="32"/>
          <w:szCs w:val="32"/>
          <w:highlight w:val="none"/>
          <w:lang w:val="en-US" w:eastAsia="zh-CN"/>
        </w:rPr>
        <w:t>0</w:t>
      </w:r>
      <w:r>
        <w:rPr>
          <w:rFonts w:hint="eastAsia" w:ascii="方正仿宋_GBK" w:hAnsi="方正仿宋_GBK" w:eastAsia="方正仿宋_GBK" w:cs="方正仿宋_GBK"/>
          <w:sz w:val="32"/>
          <w:szCs w:val="32"/>
          <w:highlight w:val="none"/>
        </w:rPr>
        <w:t>辆、一般执法执勤用车</w:t>
      </w:r>
      <w:r>
        <w:rPr>
          <w:rFonts w:hint="eastAsia" w:ascii="方正仿宋_GBK" w:hAnsi="方正仿宋_GBK" w:eastAsia="方正仿宋_GBK" w:cs="方正仿宋_GBK"/>
          <w:sz w:val="32"/>
          <w:szCs w:val="32"/>
          <w:highlight w:val="none"/>
          <w:lang w:val="en-US" w:eastAsia="zh-CN"/>
        </w:rPr>
        <w:t>0</w:t>
      </w:r>
      <w:r>
        <w:rPr>
          <w:rFonts w:hint="eastAsia" w:ascii="方正仿宋_GBK" w:hAnsi="方正仿宋_GBK" w:eastAsia="方正仿宋_GBK" w:cs="方正仿宋_GBK"/>
          <w:sz w:val="32"/>
          <w:szCs w:val="32"/>
          <w:highlight w:val="none"/>
        </w:rPr>
        <w:t>辆、特种专业技术用车</w:t>
      </w:r>
      <w:r>
        <w:rPr>
          <w:rFonts w:hint="eastAsia" w:ascii="方正仿宋_GBK" w:hAnsi="方正仿宋_GBK" w:eastAsia="方正仿宋_GBK" w:cs="方正仿宋_GBK"/>
          <w:sz w:val="32"/>
          <w:szCs w:val="32"/>
          <w:highlight w:val="none"/>
          <w:lang w:val="en-US" w:eastAsia="zh-CN"/>
        </w:rPr>
        <w:t>0</w:t>
      </w:r>
      <w:r>
        <w:rPr>
          <w:rFonts w:hint="eastAsia" w:ascii="方正仿宋_GBK" w:hAnsi="方正仿宋_GBK" w:eastAsia="方正仿宋_GBK" w:cs="方正仿宋_GBK"/>
          <w:sz w:val="32"/>
          <w:szCs w:val="32"/>
          <w:highlight w:val="none"/>
        </w:rPr>
        <w:t>辆、其他用车</w:t>
      </w:r>
      <w:r>
        <w:rPr>
          <w:rFonts w:hint="eastAsia" w:ascii="方正仿宋_GBK" w:hAnsi="方正仿宋_GBK" w:eastAsia="方正仿宋_GBK" w:cs="方正仿宋_GBK"/>
          <w:sz w:val="32"/>
          <w:szCs w:val="32"/>
          <w:highlight w:val="none"/>
          <w:lang w:val="en-US" w:eastAsia="zh-CN"/>
        </w:rPr>
        <w:t>0</w:t>
      </w:r>
      <w:r>
        <w:rPr>
          <w:rFonts w:hint="eastAsia" w:ascii="方正仿宋_GBK" w:hAnsi="方正仿宋_GBK" w:eastAsia="方正仿宋_GBK" w:cs="方正仿宋_GBK"/>
          <w:sz w:val="32"/>
          <w:szCs w:val="32"/>
          <w:highlight w:val="none"/>
        </w:rPr>
        <w:t>辆。单位价值</w:t>
      </w:r>
      <w:r>
        <w:rPr>
          <w:rFonts w:hint="eastAsia" w:ascii="方正仿宋_GBK" w:hAnsi="方正仿宋_GBK" w:eastAsia="方正仿宋_GBK" w:cs="方正仿宋_GBK"/>
          <w:sz w:val="32"/>
          <w:szCs w:val="32"/>
          <w:highlight w:val="none"/>
          <w:lang w:val="en-US" w:eastAsia="zh-CN"/>
        </w:rPr>
        <w:t>20</w:t>
      </w:r>
      <w:r>
        <w:rPr>
          <w:rFonts w:hint="eastAsia" w:ascii="方正仿宋_GBK" w:hAnsi="方正仿宋_GBK" w:eastAsia="方正仿宋_GBK" w:cs="方正仿宋_GBK"/>
          <w:sz w:val="32"/>
          <w:szCs w:val="32"/>
          <w:highlight w:val="none"/>
        </w:rPr>
        <w:t>万元以上设备</w:t>
      </w:r>
      <w:r>
        <w:rPr>
          <w:rFonts w:hint="eastAsia" w:ascii="方正仿宋_GBK" w:hAnsi="方正仿宋_GBK" w:eastAsia="方正仿宋_GBK" w:cs="方正仿宋_GBK"/>
          <w:sz w:val="32"/>
          <w:szCs w:val="32"/>
          <w:highlight w:val="none"/>
          <w:lang w:val="en-US" w:eastAsia="zh-CN"/>
        </w:rPr>
        <w:t>0</w:t>
      </w:r>
      <w:r>
        <w:rPr>
          <w:rFonts w:hint="eastAsia" w:ascii="方正仿宋_GBK" w:hAnsi="方正仿宋_GBK" w:eastAsia="方正仿宋_GBK" w:cs="方正仿宋_GBK"/>
          <w:sz w:val="32"/>
          <w:szCs w:val="32"/>
          <w:highlight w:val="none"/>
        </w:rPr>
        <w:t>台（套）。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bCs/>
          <w:sz w:val="32"/>
          <w:szCs w:val="32"/>
          <w:highlight w:val="none"/>
        </w:rPr>
      </w:pPr>
      <w:r>
        <w:rPr>
          <w:rFonts w:hint="eastAsia" w:ascii="方正楷体_GBK" w:hAnsi="方正楷体_GBK" w:eastAsia="方正楷体_GBK" w:cs="方正楷体_GBK"/>
          <w:b/>
          <w:bCs/>
          <w:sz w:val="32"/>
          <w:szCs w:val="32"/>
          <w:highlight w:val="none"/>
        </w:rPr>
        <w:t>（</w:t>
      </w:r>
      <w:r>
        <w:rPr>
          <w:rFonts w:hint="eastAsia" w:ascii="方正楷体_GBK" w:hAnsi="方正楷体_GBK" w:eastAsia="方正楷体_GBK" w:cs="方正楷体_GBK"/>
          <w:b/>
          <w:bCs/>
          <w:sz w:val="32"/>
          <w:szCs w:val="32"/>
          <w:highlight w:val="none"/>
          <w:lang w:eastAsia="zh-CN"/>
        </w:rPr>
        <w:t>三</w:t>
      </w:r>
      <w:r>
        <w:rPr>
          <w:rFonts w:hint="eastAsia" w:ascii="方正楷体_GBK" w:hAnsi="方正楷体_GBK" w:eastAsia="方正楷体_GBK" w:cs="方正楷体_GBK"/>
          <w:b/>
          <w:bCs/>
          <w:sz w:val="32"/>
          <w:szCs w:val="32"/>
          <w:highlight w:val="none"/>
        </w:rPr>
        <w:t>）绩效目标设置情况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bCs w:val="0"/>
          <w:color w:val="FF0000"/>
          <w:kern w:val="2"/>
          <w:sz w:val="32"/>
          <w:szCs w:val="32"/>
          <w:highlight w:val="none"/>
          <w:lang w:val="en-US" w:eastAsia="zh-CN" w:bidi="ar-SA"/>
        </w:rPr>
      </w:pPr>
      <w:r>
        <w:rPr>
          <w:rFonts w:hint="eastAsia" w:ascii="方正仿宋_GBK" w:hAnsi="方正仿宋_GBK" w:eastAsia="方正仿宋_GBK" w:cs="方正仿宋_GBK"/>
          <w:sz w:val="32"/>
          <w:szCs w:val="32"/>
          <w:highlight w:val="none"/>
          <w:lang w:val="en-US" w:eastAsia="zh-CN"/>
        </w:rPr>
        <w:t>2024</w:t>
      </w:r>
      <w:r>
        <w:rPr>
          <w:rFonts w:hint="eastAsia" w:ascii="方正仿宋_GBK" w:hAnsi="方正仿宋_GBK" w:eastAsia="方正仿宋_GBK" w:cs="方正仿宋_GBK"/>
          <w:sz w:val="32"/>
          <w:szCs w:val="32"/>
          <w:highlight w:val="none"/>
        </w:rPr>
        <w:t>年</w:t>
      </w:r>
      <w:r>
        <w:rPr>
          <w:rFonts w:hint="eastAsia" w:ascii="方正仿宋_GBK" w:hAnsi="方正仿宋_GBK" w:eastAsia="方正仿宋_GBK" w:cs="方正仿宋_GBK"/>
          <w:sz w:val="32"/>
          <w:szCs w:val="32"/>
          <w:highlight w:val="none"/>
          <w:lang w:eastAsia="zh-CN"/>
        </w:rPr>
        <w:t>东方市红泉农场中心学校</w:t>
      </w:r>
      <w:r>
        <w:rPr>
          <w:rFonts w:hint="eastAsia" w:ascii="方正仿宋_GBK" w:hAnsi="方正仿宋_GBK" w:eastAsia="方正仿宋_GBK" w:cs="方正仿宋_GBK"/>
          <w:sz w:val="32"/>
          <w:szCs w:val="32"/>
          <w:highlight w:val="none"/>
          <w:lang w:val="en-US" w:eastAsia="zh-CN"/>
        </w:rPr>
        <w:t>单位14</w:t>
      </w:r>
      <w:r>
        <w:rPr>
          <w:rFonts w:hint="eastAsia" w:ascii="方正仿宋_GBK" w:hAnsi="方正仿宋_GBK" w:eastAsia="方正仿宋_GBK" w:cs="方正仿宋_GBK"/>
          <w:sz w:val="32"/>
          <w:szCs w:val="32"/>
          <w:highlight w:val="none"/>
        </w:rPr>
        <w:t>个项目实行绩效目标管理，涉及一般公共预算</w:t>
      </w:r>
      <w:r>
        <w:rPr>
          <w:rFonts w:hint="eastAsia" w:ascii="方正仿宋_GBK" w:hAnsi="方正仿宋_GBK" w:eastAsia="方正仿宋_GBK" w:cs="方正仿宋_GBK"/>
          <w:sz w:val="32"/>
          <w:szCs w:val="32"/>
          <w:highlight w:val="none"/>
          <w:lang w:val="en-US" w:eastAsia="zh-CN"/>
        </w:rPr>
        <w:t>923.96</w:t>
      </w:r>
      <w:r>
        <w:rPr>
          <w:rFonts w:hint="eastAsia" w:ascii="方正仿宋_GBK" w:hAnsi="方正仿宋_GBK" w:eastAsia="方正仿宋_GBK" w:cs="方正仿宋_GBK"/>
          <w:sz w:val="32"/>
          <w:szCs w:val="32"/>
          <w:highlight w:val="none"/>
        </w:rPr>
        <w:t>万元、政府性基金</w:t>
      </w:r>
      <w:r>
        <w:rPr>
          <w:rFonts w:hint="eastAsia" w:ascii="方正仿宋_GBK" w:hAnsi="方正仿宋_GBK" w:eastAsia="方正仿宋_GBK" w:cs="方正仿宋_GBK"/>
          <w:sz w:val="32"/>
          <w:szCs w:val="32"/>
          <w:highlight w:val="none"/>
          <w:lang w:val="en-US" w:eastAsia="zh-CN"/>
        </w:rPr>
        <w:t>37.00</w:t>
      </w:r>
      <w:r>
        <w:rPr>
          <w:rFonts w:hint="eastAsia" w:ascii="方正仿宋_GBK" w:hAnsi="方正仿宋_GBK" w:eastAsia="方正仿宋_GBK" w:cs="方正仿宋_GBK"/>
          <w:sz w:val="32"/>
          <w:szCs w:val="32"/>
          <w:highlight w:val="none"/>
        </w:rPr>
        <w:t>万元、上年结转</w:t>
      </w:r>
      <w:r>
        <w:rPr>
          <w:rFonts w:hint="eastAsia" w:ascii="方正仿宋_GBK" w:hAnsi="方正仿宋_GBK" w:eastAsia="方正仿宋_GBK" w:cs="方正仿宋_GBK"/>
          <w:sz w:val="32"/>
          <w:szCs w:val="32"/>
          <w:highlight w:val="none"/>
          <w:lang w:val="en-US" w:eastAsia="zh-CN"/>
        </w:rPr>
        <w:t>69.82</w:t>
      </w:r>
      <w:r>
        <w:rPr>
          <w:rFonts w:hint="eastAsia" w:ascii="方正仿宋_GBK" w:hAnsi="方正仿宋_GBK" w:eastAsia="方正仿宋_GBK" w:cs="方正仿宋_GBK"/>
          <w:sz w:val="32"/>
          <w:szCs w:val="32"/>
          <w:highlight w:val="none"/>
        </w:rPr>
        <w:t>万元。</w:t>
      </w:r>
    </w:p>
    <w:p>
      <w:pPr>
        <w:keepNext w:val="0"/>
        <w:keepLines w:val="0"/>
        <w:pageBreakBefore w:val="0"/>
        <w:numPr>
          <w:ilvl w:val="0"/>
          <w:numId w:val="6"/>
        </w:numPr>
        <w:kinsoku/>
        <w:wordWrap/>
        <w:overflowPunct/>
        <w:topLinePunct w:val="0"/>
        <w:autoSpaceDE/>
        <w:autoSpaceDN/>
        <w:bidi w:val="0"/>
        <w:adjustRightInd/>
        <w:snapToGrid/>
        <w:spacing w:line="560" w:lineRule="exact"/>
        <w:ind w:firstLine="2249" w:firstLineChars="700"/>
        <w:jc w:val="both"/>
        <w:textAlignment w:val="auto"/>
        <w:rPr>
          <w:rFonts w:hint="eastAsia" w:ascii="黑体" w:hAnsi="黑体" w:eastAsia="黑体"/>
          <w:b/>
          <w:sz w:val="32"/>
          <w:szCs w:val="32"/>
          <w:highlight w:val="none"/>
        </w:rPr>
      </w:pPr>
      <w:r>
        <w:rPr>
          <w:rFonts w:hint="eastAsia" w:ascii="黑体" w:hAnsi="黑体" w:eastAsia="黑体"/>
          <w:b/>
          <w:sz w:val="32"/>
          <w:szCs w:val="32"/>
          <w:highlight w:val="none"/>
        </w:rPr>
        <w:t xml:space="preserve"> 名词解释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000000"/>
          <w:kern w:val="0"/>
          <w:sz w:val="32"/>
          <w:szCs w:val="30"/>
          <w:highlight w:val="none"/>
        </w:rPr>
      </w:pPr>
      <w:r>
        <w:rPr>
          <w:rFonts w:hint="eastAsia" w:ascii="方正仿宋_GBK" w:hAnsi="方正仿宋_GBK" w:eastAsia="方正仿宋_GBK" w:cs="方正仿宋_GBK"/>
          <w:color w:val="000000"/>
          <w:kern w:val="0"/>
          <w:sz w:val="32"/>
          <w:szCs w:val="30"/>
          <w:highlight w:val="none"/>
        </w:rPr>
        <w:t>一、财政拨款收入：指本级财政当年拨付的资金。</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kern w:val="0"/>
          <w:sz w:val="32"/>
          <w:szCs w:val="30"/>
          <w:highlight w:val="none"/>
        </w:rPr>
      </w:pPr>
      <w:r>
        <w:rPr>
          <w:rFonts w:hint="eastAsia" w:ascii="方正仿宋_GBK" w:hAnsi="方正仿宋_GBK" w:eastAsia="方正仿宋_GBK" w:cs="方正仿宋_GBK"/>
          <w:color w:val="000000"/>
          <w:kern w:val="0"/>
          <w:sz w:val="32"/>
          <w:szCs w:val="30"/>
          <w:highlight w:val="none"/>
        </w:rPr>
        <w:t>二、事业收入：指事业单位开展专业业务活动及辅助活动取得的收入。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kern w:val="0"/>
          <w:sz w:val="32"/>
          <w:szCs w:val="30"/>
          <w:highlight w:val="none"/>
        </w:rPr>
      </w:pPr>
      <w:r>
        <w:rPr>
          <w:rFonts w:hint="eastAsia" w:ascii="方正仿宋_GBK" w:hAnsi="方正仿宋_GBK" w:eastAsia="方正仿宋_GBK" w:cs="方正仿宋_GBK"/>
          <w:color w:val="000000"/>
          <w:kern w:val="0"/>
          <w:sz w:val="32"/>
          <w:szCs w:val="30"/>
          <w:highlight w:val="none"/>
        </w:rPr>
        <w:t>三、经营收入：指事业单位在专业业务活动及其辅助活动之外开展非独立核算经营活动取得的收入。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kern w:val="0"/>
          <w:sz w:val="32"/>
          <w:szCs w:val="30"/>
          <w:highlight w:val="none"/>
        </w:rPr>
      </w:pPr>
      <w:r>
        <w:rPr>
          <w:rFonts w:hint="eastAsia" w:ascii="方正仿宋_GBK" w:hAnsi="方正仿宋_GBK" w:eastAsia="方正仿宋_GBK" w:cs="方正仿宋_GBK"/>
          <w:color w:val="000000"/>
          <w:kern w:val="0"/>
          <w:sz w:val="32"/>
          <w:szCs w:val="30"/>
          <w:highlight w:val="none"/>
        </w:rPr>
        <w:t>四、其他收入：指除上述“财政拨款收入”“事业收入”“经营收入”等以外的收入。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kern w:val="0"/>
          <w:sz w:val="32"/>
          <w:szCs w:val="30"/>
          <w:highlight w:val="none"/>
        </w:rPr>
      </w:pPr>
      <w:r>
        <w:rPr>
          <w:rFonts w:hint="eastAsia" w:ascii="方正仿宋_GBK" w:hAnsi="方正仿宋_GBK" w:eastAsia="方正仿宋_GBK" w:cs="方正仿宋_GBK"/>
          <w:color w:val="000000"/>
          <w:kern w:val="0"/>
          <w:sz w:val="32"/>
          <w:szCs w:val="30"/>
          <w:highlight w:val="none"/>
        </w:rPr>
        <w:t>五、年初结转和结余：指以前年度尚未完成、结转到本年按有关规定继续使用的资金。</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kern w:val="0"/>
          <w:sz w:val="32"/>
          <w:szCs w:val="30"/>
          <w:highlight w:val="none"/>
        </w:rPr>
      </w:pPr>
      <w:r>
        <w:rPr>
          <w:rFonts w:hint="eastAsia" w:ascii="方正仿宋_GBK" w:hAnsi="方正仿宋_GBK" w:eastAsia="方正仿宋_GBK" w:cs="方正仿宋_GBK"/>
          <w:color w:val="000000"/>
          <w:kern w:val="0"/>
          <w:sz w:val="32"/>
          <w:szCs w:val="30"/>
          <w:highlight w:val="none"/>
        </w:rPr>
        <w:t xml:space="preserve">六、基本支出：指行政事业单位用于为保障其机构正常运转、完成日常工作任务而发生的人员支出和公用支出。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kern w:val="0"/>
          <w:sz w:val="32"/>
          <w:szCs w:val="30"/>
          <w:highlight w:val="none"/>
        </w:rPr>
      </w:pPr>
      <w:r>
        <w:rPr>
          <w:rFonts w:hint="eastAsia" w:ascii="方正仿宋_GBK" w:hAnsi="方正仿宋_GBK" w:eastAsia="方正仿宋_GBK" w:cs="方正仿宋_GBK"/>
          <w:color w:val="000000"/>
          <w:kern w:val="0"/>
          <w:sz w:val="32"/>
          <w:szCs w:val="30"/>
          <w:highlight w:val="none"/>
        </w:rPr>
        <w:t>七、工资福利支出：反映单位开支的在职职工和编制外长期聘用人员的各类劳动报酬，以及为上述人员缴纳的各项社会保险费等。</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kern w:val="0"/>
          <w:sz w:val="32"/>
          <w:szCs w:val="30"/>
          <w:highlight w:val="none"/>
        </w:rPr>
      </w:pPr>
      <w:r>
        <w:rPr>
          <w:rFonts w:hint="eastAsia" w:ascii="方正仿宋_GBK" w:hAnsi="方正仿宋_GBK" w:eastAsia="方正仿宋_GBK" w:cs="方正仿宋_GBK"/>
          <w:color w:val="000000"/>
          <w:kern w:val="0"/>
          <w:sz w:val="32"/>
          <w:szCs w:val="30"/>
          <w:highlight w:val="none"/>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kern w:val="0"/>
          <w:sz w:val="32"/>
          <w:szCs w:val="30"/>
        </w:rPr>
      </w:pPr>
      <w:r>
        <w:rPr>
          <w:rFonts w:hint="eastAsia" w:ascii="方正仿宋_GBK" w:hAnsi="方正仿宋_GBK" w:eastAsia="方正仿宋_GBK" w:cs="方正仿宋_GBK"/>
          <w:color w:val="000000"/>
          <w:kern w:val="0"/>
          <w:sz w:val="32"/>
          <w:szCs w:val="30"/>
          <w:highlight w:val="none"/>
        </w:rPr>
        <w:t>九、商品和服务支出：反映单位购买商品和服务的支出，包括办公费、水费、电费、邮电费、培训费、公务用车运行维护费、差旅费、因公出国（境）费用、公</w:t>
      </w:r>
      <w:r>
        <w:rPr>
          <w:rFonts w:hint="eastAsia" w:ascii="方正仿宋_GBK" w:hAnsi="方正仿宋_GBK" w:eastAsia="方正仿宋_GBK" w:cs="方正仿宋_GBK"/>
          <w:color w:val="000000"/>
          <w:kern w:val="0"/>
          <w:sz w:val="32"/>
          <w:szCs w:val="30"/>
        </w:rPr>
        <w:t>务接待费、工会经费、会议费、福利费、物业管理费、维修（护）费、其他等。</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kern w:val="0"/>
          <w:sz w:val="32"/>
          <w:szCs w:val="30"/>
        </w:rPr>
      </w:pPr>
      <w:r>
        <w:rPr>
          <w:rFonts w:hint="eastAsia" w:ascii="方正仿宋_GBK" w:hAnsi="方正仿宋_GBK" w:eastAsia="方正仿宋_GBK" w:cs="方正仿宋_GBK"/>
          <w:color w:val="000000"/>
          <w:kern w:val="0"/>
          <w:sz w:val="32"/>
          <w:szCs w:val="30"/>
        </w:rPr>
        <w:t>十、项目支出：指各部门、各单位为完成其特定的工作任务和事业发展目标所发生的支出。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kern w:val="0"/>
          <w:sz w:val="32"/>
          <w:szCs w:val="30"/>
        </w:rPr>
      </w:pPr>
      <w:r>
        <w:rPr>
          <w:rFonts w:hint="eastAsia" w:ascii="方正仿宋_GBK" w:hAnsi="方正仿宋_GBK" w:eastAsia="方正仿宋_GBK" w:cs="方正仿宋_GBK"/>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widowControl/>
        <w:spacing w:line="600" w:lineRule="exact"/>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十</w:t>
      </w:r>
      <w:r>
        <w:rPr>
          <w:rFonts w:hint="eastAsia" w:ascii="方正仿宋_GBK" w:hAnsi="方正仿宋_GBK" w:eastAsia="方正仿宋_GBK" w:cs="方正仿宋_GBK"/>
          <w:color w:val="000000"/>
          <w:kern w:val="0"/>
          <w:sz w:val="32"/>
          <w:szCs w:val="32"/>
          <w:lang w:eastAsia="zh-CN"/>
        </w:rPr>
        <w:t>二</w:t>
      </w:r>
      <w:r>
        <w:rPr>
          <w:rFonts w:hint="eastAsia" w:ascii="方正仿宋_GBK" w:hAnsi="方正仿宋_GBK" w:eastAsia="方正仿宋_GBK" w:cs="方正仿宋_GBK"/>
          <w:color w:val="000000"/>
          <w:kern w:val="0"/>
          <w:sz w:val="32"/>
          <w:szCs w:val="32"/>
        </w:rPr>
        <w:t>、教育支出（类）普通教育（款）小学教育（项）：反映各部门举办的小学教育支出。政府各部门对社会组织等举办的小学的资助，如：捐赠、补贴等，也在本科目中反映。</w:t>
      </w:r>
    </w:p>
    <w:p>
      <w:pPr>
        <w:widowControl/>
        <w:spacing w:line="600" w:lineRule="exact"/>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十</w:t>
      </w:r>
      <w:r>
        <w:rPr>
          <w:rFonts w:hint="eastAsia" w:ascii="方正仿宋_GBK" w:hAnsi="方正仿宋_GBK" w:eastAsia="方正仿宋_GBK" w:cs="方正仿宋_GBK"/>
          <w:color w:val="000000"/>
          <w:kern w:val="0"/>
          <w:sz w:val="32"/>
          <w:szCs w:val="32"/>
          <w:lang w:eastAsia="zh-CN"/>
        </w:rPr>
        <w:t>三</w:t>
      </w:r>
      <w:r>
        <w:rPr>
          <w:rFonts w:hint="eastAsia" w:ascii="方正仿宋_GBK" w:hAnsi="方正仿宋_GBK" w:eastAsia="方正仿宋_GBK" w:cs="方正仿宋_GBK"/>
          <w:color w:val="000000"/>
          <w:kern w:val="0"/>
          <w:sz w:val="32"/>
          <w:szCs w:val="32"/>
        </w:rPr>
        <w:t>、社会保障和就业支出（类）行政事业单位养老支出（款）机关事业单位基本养老保险缴费支出（项）：反映机关事业单位实施养老保险制度由单位缴纳的基本养老保险费支出。</w:t>
      </w:r>
    </w:p>
    <w:p>
      <w:pPr>
        <w:widowControl/>
        <w:spacing w:line="600" w:lineRule="exact"/>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十</w:t>
      </w:r>
      <w:r>
        <w:rPr>
          <w:rFonts w:hint="eastAsia" w:ascii="方正仿宋_GBK" w:hAnsi="方正仿宋_GBK" w:eastAsia="方正仿宋_GBK" w:cs="方正仿宋_GBK"/>
          <w:color w:val="000000"/>
          <w:kern w:val="0"/>
          <w:sz w:val="32"/>
          <w:szCs w:val="32"/>
          <w:lang w:eastAsia="zh-CN"/>
        </w:rPr>
        <w:t>四</w:t>
      </w:r>
      <w:r>
        <w:rPr>
          <w:rFonts w:hint="eastAsia" w:ascii="方正仿宋_GBK" w:hAnsi="方正仿宋_GBK" w:eastAsia="方正仿宋_GBK" w:cs="方正仿宋_GBK"/>
          <w:color w:val="000000"/>
          <w:kern w:val="0"/>
          <w:sz w:val="32"/>
          <w:szCs w:val="32"/>
        </w:rPr>
        <w:t>、社会保障和就业支出（类）行政事业单位养老支出（款）机关事业单位职业年金缴费支出（项）：反映机关事业单位实施养老保险制度由单位实际缴纳的职业年金支出。</w:t>
      </w:r>
    </w:p>
    <w:p>
      <w:pPr>
        <w:widowControl/>
        <w:spacing w:line="600" w:lineRule="exact"/>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十五</w:t>
      </w:r>
      <w:r>
        <w:rPr>
          <w:rFonts w:hint="eastAsia" w:ascii="方正仿宋_GBK" w:hAnsi="方正仿宋_GBK" w:eastAsia="方正仿宋_GBK" w:cs="方正仿宋_GBK"/>
          <w:color w:val="000000"/>
          <w:kern w:val="0"/>
          <w:sz w:val="32"/>
          <w:szCs w:val="32"/>
        </w:rPr>
        <w:t>、社会保障和就业支出（类）抚恤（款）其他优抚支出（项）：反映除上述项目以外其他用于优抚方面的支出，包括向优抚对象发放的价格临时补贴等支出。</w:t>
      </w:r>
    </w:p>
    <w:p>
      <w:pPr>
        <w:widowControl/>
        <w:spacing w:line="600" w:lineRule="exact"/>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十六</w:t>
      </w:r>
      <w:r>
        <w:rPr>
          <w:rFonts w:hint="eastAsia" w:ascii="方正仿宋_GBK" w:hAnsi="方正仿宋_GBK" w:eastAsia="方正仿宋_GBK" w:cs="方正仿宋_GBK"/>
          <w:color w:val="000000"/>
          <w:kern w:val="0"/>
          <w:sz w:val="32"/>
          <w:szCs w:val="32"/>
        </w:rPr>
        <w:t>、卫生健康支出（类）行政事业单位医疗（款）事业单位医疗（项）：反映财政部门安排的事业单位基本医疗保险缴费经费，未参加医疗保险的事业单位的公费医疗经费，按国家规定享受离休人员待遇的医疗经费。</w:t>
      </w:r>
    </w:p>
    <w:p>
      <w:pPr>
        <w:widowControl/>
        <w:spacing w:line="600" w:lineRule="exact"/>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十七</w:t>
      </w:r>
      <w:r>
        <w:rPr>
          <w:rFonts w:hint="eastAsia" w:ascii="方正仿宋_GBK" w:hAnsi="方正仿宋_GBK" w:eastAsia="方正仿宋_GBK" w:cs="方正仿宋_GBK"/>
          <w:color w:val="000000"/>
          <w:kern w:val="0"/>
          <w:sz w:val="32"/>
          <w:szCs w:val="32"/>
        </w:rPr>
        <w:t>、卫生健康支出（类）行政事业单位医疗（款）公务员医疗补助（项）：反映财政部门安排的公务员医疗补助经费。</w:t>
      </w:r>
    </w:p>
    <w:p>
      <w:pPr>
        <w:widowControl/>
        <w:spacing w:line="600" w:lineRule="exact"/>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十八</w:t>
      </w:r>
      <w:r>
        <w:rPr>
          <w:rFonts w:hint="eastAsia" w:ascii="方正仿宋_GBK" w:hAnsi="方正仿宋_GBK" w:eastAsia="方正仿宋_GBK" w:cs="方正仿宋_GBK"/>
          <w:color w:val="000000"/>
          <w:kern w:val="0"/>
          <w:sz w:val="32"/>
          <w:szCs w:val="32"/>
        </w:rPr>
        <w:t>、住房保障支出（类）住房改革支出（款）机关住房公积金（项）：反映行政事业单位按人力资源和社会保障部、财政部规定的基本工资和津贴补贴以及规定比例为职工缴纳的住房公积金。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A411AC"/>
    <w:multiLevelType w:val="singleLevel"/>
    <w:tmpl w:val="D6A411AC"/>
    <w:lvl w:ilvl="0" w:tentative="0">
      <w:start w:val="4"/>
      <w:numFmt w:val="chineseCounting"/>
      <w:suff w:val="space"/>
      <w:lvlText w:val="第%1部分"/>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A1AEDE"/>
    <w:multiLevelType w:val="singleLevel"/>
    <w:tmpl w:val="15A1AEDE"/>
    <w:lvl w:ilvl="0" w:tentative="0">
      <w:start w:val="1"/>
      <w:numFmt w:val="chineseCounting"/>
      <w:suff w:val="nothing"/>
      <w:lvlText w:val="%1、"/>
      <w:lvlJc w:val="left"/>
      <w:rPr>
        <w:rFonts w:hint="eastAsia"/>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yNjcyNDQ4MGNjZDRlOTgyNTc0Mzg0YTVmNTJiNTMifQ=="/>
  </w:docVars>
  <w:rsids>
    <w:rsidRoot w:val="00000000"/>
    <w:rsid w:val="060F43AF"/>
    <w:rsid w:val="07844720"/>
    <w:rsid w:val="08CB388D"/>
    <w:rsid w:val="08FC013B"/>
    <w:rsid w:val="0A803F80"/>
    <w:rsid w:val="0B395592"/>
    <w:rsid w:val="0B570AA2"/>
    <w:rsid w:val="0CA135A0"/>
    <w:rsid w:val="0E064816"/>
    <w:rsid w:val="0F194D69"/>
    <w:rsid w:val="18BC7DDC"/>
    <w:rsid w:val="1D8B45B8"/>
    <w:rsid w:val="1EE53FC0"/>
    <w:rsid w:val="20541126"/>
    <w:rsid w:val="21104F26"/>
    <w:rsid w:val="21C350E6"/>
    <w:rsid w:val="28621706"/>
    <w:rsid w:val="2D662499"/>
    <w:rsid w:val="34D559D1"/>
    <w:rsid w:val="354739C3"/>
    <w:rsid w:val="35A02CD3"/>
    <w:rsid w:val="367C64A3"/>
    <w:rsid w:val="37E361B5"/>
    <w:rsid w:val="3DDC0F7B"/>
    <w:rsid w:val="3EB4413E"/>
    <w:rsid w:val="41816035"/>
    <w:rsid w:val="43632BD7"/>
    <w:rsid w:val="44A8768C"/>
    <w:rsid w:val="46EB1D6B"/>
    <w:rsid w:val="47F74518"/>
    <w:rsid w:val="48D200D5"/>
    <w:rsid w:val="4D053925"/>
    <w:rsid w:val="4DCF585E"/>
    <w:rsid w:val="4ED44D5F"/>
    <w:rsid w:val="540C7F1C"/>
    <w:rsid w:val="5AA9017A"/>
    <w:rsid w:val="624175B9"/>
    <w:rsid w:val="641C5084"/>
    <w:rsid w:val="64F71523"/>
    <w:rsid w:val="669A6FB3"/>
    <w:rsid w:val="6BE06D47"/>
    <w:rsid w:val="6E5F2278"/>
    <w:rsid w:val="6FC6769D"/>
    <w:rsid w:val="77105C8A"/>
    <w:rsid w:val="7AE6610C"/>
    <w:rsid w:val="7DEBCAFF"/>
    <w:rsid w:val="7EFE46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rPr>
      <w:sz w:val="24"/>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customStyle="1" w:styleId="11">
    <w:name w:val="p15"/>
    <w:basedOn w:val="1"/>
    <w:qFormat/>
    <w:uiPriority w:val="0"/>
    <w:pPr>
      <w:widowControl/>
      <w:spacing w:before="0" w:beforeAutospacing="0" w:after="0" w:afterAutospacing="0"/>
      <w:ind w:left="0" w:right="0" w:firstLine="420"/>
      <w:jc w:val="both"/>
    </w:pPr>
    <w:rPr>
      <w:rFonts w:hint="default" w:ascii="Calibri" w:hAnsi="Calibri" w:eastAsia="宋体" w:cs="宋体"/>
      <w:color w:val="auto"/>
      <w:kern w:val="0"/>
      <w:sz w:val="21"/>
      <w:szCs w:val="21"/>
      <w:lang w:val="en-US" w:eastAsia="zh-CN" w:bidi="ar-SA"/>
    </w:rPr>
  </w:style>
  <w:style w:type="paragraph" w:customStyle="1" w:styleId="12">
    <w:name w:val="p0"/>
    <w:basedOn w:val="1"/>
    <w:qFormat/>
    <w:uiPriority w:val="0"/>
    <w:pPr>
      <w:widowControl/>
      <w:spacing w:before="0" w:beforeAutospacing="0" w:after="0" w:afterAutospacing="0"/>
      <w:ind w:left="0" w:right="0"/>
      <w:jc w:val="both"/>
    </w:pPr>
    <w:rPr>
      <w:rFonts w:hint="default" w:ascii="Calibri" w:hAnsi="Calibri" w:eastAsia="宋体" w:cs="宋体"/>
      <w:color w:val="auto"/>
      <w:kern w:val="0"/>
      <w:sz w:val="21"/>
      <w:szCs w:val="21"/>
      <w:lang w:val="en-US" w:eastAsia="zh-CN" w:bidi="ar-SA"/>
    </w:rPr>
  </w:style>
  <w:style w:type="character" w:customStyle="1" w:styleId="13">
    <w:name w:val="font71"/>
    <w:basedOn w:val="6"/>
    <w:qFormat/>
    <w:uiPriority w:val="0"/>
    <w:rPr>
      <w:rFonts w:hint="default" w:ascii="Times New Roman" w:hAnsi="Times New Roman" w:eastAsia="楷体_GB2312" w:cs="Times New Roman"/>
      <w:sz w:val="28"/>
      <w:szCs w:val="24"/>
    </w:rPr>
  </w:style>
  <w:style w:type="character" w:customStyle="1" w:styleId="14">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3758</Words>
  <Characters>4141</Characters>
  <Lines>27</Lines>
  <Paragraphs>7</Paragraphs>
  <TotalTime>96</TotalTime>
  <ScaleCrop>false</ScaleCrop>
  <LinksUpToDate>false</LinksUpToDate>
  <CharactersWithSpaces>4160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dcterms:modified xsi:type="dcterms:W3CDTF">2024-03-07T10:08:16Z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313D892E2A9A41EA9014A3F7CEBDB3C4</vt:lpwstr>
  </property>
</Properties>
</file>